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BDA09">
      <w:pPr>
        <w:spacing w:before="32" w:line="245" w:lineRule="auto"/>
        <w:ind w:left="996" w:right="-38" w:firstLine="223"/>
        <w:jc w:val="both"/>
        <w:rPr>
          <w:rFonts w:ascii="Century Gothic" w:hAnsi="Century Gothic" w:eastAsia="Arial" w:cs="Arial"/>
          <w:b/>
          <w:spacing w:val="-1"/>
          <w:szCs w:val="24"/>
        </w:rPr>
      </w:pPr>
      <w:bookmarkStart w:id="0" w:name="_Hlk172113592"/>
      <w:r>
        <w:drawing>
          <wp:anchor distT="0" distB="0" distL="114300" distR="114300" simplePos="0" relativeHeight="251660288" behindDoc="0" locked="0" layoutInCell="1" allowOverlap="1">
            <wp:simplePos x="0" y="0"/>
            <wp:positionH relativeFrom="column">
              <wp:posOffset>4872355</wp:posOffset>
            </wp:positionH>
            <wp:positionV relativeFrom="paragraph">
              <wp:posOffset>-483235</wp:posOffset>
            </wp:positionV>
            <wp:extent cx="826770" cy="628015"/>
            <wp:effectExtent l="0" t="0" r="0" b="1270"/>
            <wp:wrapNone/>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6898" cy="627725"/>
                    </a:xfrm>
                    <a:prstGeom prst="rect">
                      <a:avLst/>
                    </a:prstGeom>
                    <a:noFill/>
                  </pic:spPr>
                </pic:pic>
              </a:graphicData>
            </a:graphic>
          </wp:anchor>
        </w:drawing>
      </w:r>
      <w:r>
        <w:rPr>
          <w:rFonts w:ascii="Century Gothic" w:hAnsi="Century Gothic"/>
          <w:szCs w:val="24"/>
        </w:rPr>
        <w:drawing>
          <wp:anchor distT="0" distB="0" distL="114300" distR="114300" simplePos="0" relativeHeight="251659264" behindDoc="1" locked="0" layoutInCell="1" allowOverlap="1">
            <wp:simplePos x="0" y="0"/>
            <wp:positionH relativeFrom="page">
              <wp:posOffset>3875405</wp:posOffset>
            </wp:positionH>
            <wp:positionV relativeFrom="paragraph">
              <wp:posOffset>-571500</wp:posOffset>
            </wp:positionV>
            <wp:extent cx="1244600" cy="768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44600" cy="768350"/>
                    </a:xfrm>
                    <a:prstGeom prst="rect">
                      <a:avLst/>
                    </a:prstGeom>
                    <a:noFill/>
                  </pic:spPr>
                </pic:pic>
              </a:graphicData>
            </a:graphic>
          </wp:anchor>
        </w:drawing>
      </w:r>
      <w:r>
        <w:rPr>
          <w:rFonts w:ascii="Century Gothic" w:hAnsi="Century Gothic"/>
          <w:szCs w:val="24"/>
        </w:rPr>
        <w:pict>
          <v:shape id="_x0000_s1028" o:spid="_x0000_s1028" o:spt="75" type="#_x0000_t75" style="position:absolute;left:0pt;margin-left:44.75pt;margin-top:-40.5pt;height:52.3pt;width:66.25pt;z-index:251661312;mso-width-relative:page;mso-height-relative:page;" o:ole="t" filled="f" o:preferrelative="t" stroked="f" coordsize="21600,21600">
            <v:path/>
            <v:fill on="f" focussize="0,0"/>
            <v:stroke on="f" joinstyle="miter"/>
            <v:imagedata r:id="rId10" o:title=""/>
            <o:lock v:ext="edit" aspectratio="t"/>
          </v:shape>
          <o:OLEObject Type="Embed" ProgID="CorelDRAW.Graphic.11" ShapeID="_x0000_s1028" DrawAspect="Content" ObjectID="_1468075725" r:id="rId9">
            <o:LockedField>false</o:LockedField>
          </o:OLEObject>
        </w:pict>
      </w:r>
    </w:p>
    <w:p w14:paraId="7A283E98">
      <w:pPr>
        <w:spacing w:before="32" w:line="245" w:lineRule="auto"/>
        <w:ind w:right="-38"/>
        <w:jc w:val="both"/>
        <w:rPr>
          <w:rFonts w:ascii="Century Gothic" w:hAnsi="Century Gothic" w:eastAsia="Arial" w:cs="Arial"/>
          <w:b/>
          <w:sz w:val="22"/>
          <w:szCs w:val="22"/>
        </w:rPr>
      </w:pPr>
      <w:r>
        <w:rPr>
          <w:rFonts w:ascii="Century Gothic" w:hAnsi="Century Gothic" w:eastAsia="Arial" w:cs="Arial"/>
          <w:b/>
          <w:spacing w:val="-1"/>
          <w:sz w:val="22"/>
          <w:szCs w:val="22"/>
        </w:rPr>
        <w:t xml:space="preserve">       REPUB</w:t>
      </w:r>
      <w:r>
        <w:rPr>
          <w:rFonts w:ascii="Century Gothic" w:hAnsi="Century Gothic" w:eastAsia="Arial" w:cs="Arial"/>
          <w:b/>
          <w:sz w:val="22"/>
          <w:szCs w:val="22"/>
        </w:rPr>
        <w:t>LI</w:t>
      </w:r>
      <w:r>
        <w:rPr>
          <w:rFonts w:ascii="Century Gothic" w:hAnsi="Century Gothic" w:eastAsia="Arial" w:cs="Arial"/>
          <w:b/>
          <w:spacing w:val="1"/>
          <w:sz w:val="22"/>
          <w:szCs w:val="22"/>
        </w:rPr>
        <w:t>Q</w:t>
      </w:r>
      <w:r>
        <w:rPr>
          <w:rFonts w:ascii="Century Gothic" w:hAnsi="Century Gothic" w:eastAsia="Arial" w:cs="Arial"/>
          <w:b/>
          <w:spacing w:val="-1"/>
          <w:sz w:val="22"/>
          <w:szCs w:val="22"/>
        </w:rPr>
        <w:t>U</w:t>
      </w:r>
      <w:r>
        <w:rPr>
          <w:rFonts w:ascii="Century Gothic" w:hAnsi="Century Gothic" w:eastAsia="Arial" w:cs="Arial"/>
          <w:b/>
          <w:sz w:val="22"/>
          <w:szCs w:val="22"/>
        </w:rPr>
        <w:t xml:space="preserve">E </w:t>
      </w:r>
      <w:r>
        <w:rPr>
          <w:rFonts w:ascii="Century Gothic" w:hAnsi="Century Gothic" w:eastAsia="Arial" w:cs="Arial"/>
          <w:b/>
          <w:spacing w:val="-1"/>
          <w:sz w:val="22"/>
          <w:szCs w:val="22"/>
        </w:rPr>
        <w:t>D</w:t>
      </w:r>
      <w:r>
        <w:rPr>
          <w:rFonts w:ascii="Century Gothic" w:hAnsi="Century Gothic" w:eastAsia="Arial" w:cs="Arial"/>
          <w:b/>
          <w:sz w:val="22"/>
          <w:szCs w:val="22"/>
        </w:rPr>
        <w:t xml:space="preserve">E </w:t>
      </w:r>
      <w:r>
        <w:rPr>
          <w:rFonts w:ascii="Century Gothic" w:hAnsi="Century Gothic" w:eastAsia="Arial" w:cs="Arial"/>
          <w:b/>
          <w:spacing w:val="1"/>
          <w:sz w:val="22"/>
          <w:szCs w:val="22"/>
        </w:rPr>
        <w:t>G</w:t>
      </w:r>
      <w:r>
        <w:rPr>
          <w:rFonts w:ascii="Century Gothic" w:hAnsi="Century Gothic" w:eastAsia="Arial" w:cs="Arial"/>
          <w:b/>
          <w:spacing w:val="-1"/>
          <w:sz w:val="22"/>
          <w:szCs w:val="22"/>
        </w:rPr>
        <w:t>U</w:t>
      </w:r>
      <w:r>
        <w:rPr>
          <w:rFonts w:ascii="Century Gothic" w:hAnsi="Century Gothic" w:eastAsia="Arial" w:cs="Arial"/>
          <w:b/>
          <w:spacing w:val="1"/>
          <w:sz w:val="22"/>
          <w:szCs w:val="22"/>
        </w:rPr>
        <w:t>I</w:t>
      </w:r>
      <w:r>
        <w:rPr>
          <w:rFonts w:ascii="Century Gothic" w:hAnsi="Century Gothic" w:eastAsia="Arial" w:cs="Arial"/>
          <w:b/>
          <w:spacing w:val="-1"/>
          <w:sz w:val="22"/>
          <w:szCs w:val="22"/>
        </w:rPr>
        <w:t>NE</w:t>
      </w:r>
      <w:r>
        <w:rPr>
          <w:rFonts w:ascii="Century Gothic" w:hAnsi="Century Gothic" w:eastAsia="Arial" w:cs="Arial"/>
          <w:b/>
          <w:sz w:val="22"/>
          <w:szCs w:val="22"/>
        </w:rPr>
        <w:t xml:space="preserve">E                           </w:t>
      </w:r>
      <w:r>
        <w:rPr>
          <w:rFonts w:ascii="Century Gothic" w:hAnsi="Century Gothic" w:eastAsia="Arial" w:cs="Arial"/>
          <w:b/>
          <w:spacing w:val="1"/>
        </w:rPr>
        <w:t>G</w:t>
      </w:r>
      <w:r>
        <w:rPr>
          <w:rFonts w:ascii="Century Gothic" w:hAnsi="Century Gothic" w:eastAsia="Arial" w:cs="Arial"/>
          <w:b/>
          <w:spacing w:val="-1"/>
        </w:rPr>
        <w:t>R</w:t>
      </w:r>
      <w:r>
        <w:rPr>
          <w:rFonts w:ascii="Century Gothic" w:hAnsi="Century Gothic" w:eastAsia="Arial" w:cs="Arial"/>
          <w:b/>
          <w:spacing w:val="1"/>
        </w:rPr>
        <w:t>O</w:t>
      </w:r>
      <w:r>
        <w:rPr>
          <w:rFonts w:ascii="Century Gothic" w:hAnsi="Century Gothic" w:eastAsia="Arial" w:cs="Arial"/>
          <w:b/>
          <w:spacing w:val="-1"/>
        </w:rPr>
        <w:t>UP</w:t>
      </w:r>
      <w:r>
        <w:rPr>
          <w:rFonts w:ascii="Century Gothic" w:hAnsi="Century Gothic" w:eastAsia="Arial" w:cs="Arial"/>
          <w:b/>
        </w:rPr>
        <w:t xml:space="preserve">E </w:t>
      </w:r>
      <w:r>
        <w:rPr>
          <w:rFonts w:ascii="Century Gothic" w:hAnsi="Century Gothic" w:eastAsia="Arial" w:cs="Arial"/>
          <w:b/>
          <w:spacing w:val="-1"/>
        </w:rPr>
        <w:t>D</w:t>
      </w:r>
      <w:r>
        <w:rPr>
          <w:rFonts w:ascii="Century Gothic" w:hAnsi="Century Gothic" w:eastAsia="Arial" w:cs="Arial"/>
          <w:b/>
        </w:rPr>
        <w:t>E LA</w:t>
      </w:r>
      <w:r>
        <w:rPr>
          <w:rFonts w:ascii="Century Gothic" w:hAnsi="Century Gothic" w:eastAsia="Arial" w:cs="Arial"/>
          <w:b/>
          <w:spacing w:val="-1"/>
        </w:rPr>
        <w:t xml:space="preserve"> B</w:t>
      </w:r>
      <w:r>
        <w:rPr>
          <w:rFonts w:ascii="Century Gothic" w:hAnsi="Century Gothic" w:eastAsia="Arial" w:cs="Arial"/>
          <w:b/>
          <w:spacing w:val="-8"/>
        </w:rPr>
        <w:t>A</w:t>
      </w:r>
      <w:r>
        <w:rPr>
          <w:rFonts w:ascii="Century Gothic" w:hAnsi="Century Gothic" w:eastAsia="Arial" w:cs="Arial"/>
          <w:b/>
          <w:spacing w:val="-1"/>
        </w:rPr>
        <w:t>N</w:t>
      </w:r>
      <w:r>
        <w:rPr>
          <w:rFonts w:ascii="Century Gothic" w:hAnsi="Century Gothic" w:eastAsia="Arial" w:cs="Arial"/>
          <w:b/>
          <w:spacing w:val="1"/>
        </w:rPr>
        <w:t>Q</w:t>
      </w:r>
      <w:r>
        <w:rPr>
          <w:rFonts w:ascii="Century Gothic" w:hAnsi="Century Gothic" w:eastAsia="Arial" w:cs="Arial"/>
          <w:b/>
          <w:spacing w:val="-1"/>
        </w:rPr>
        <w:t>U</w:t>
      </w:r>
      <w:r>
        <w:rPr>
          <w:rFonts w:ascii="Century Gothic" w:hAnsi="Century Gothic" w:eastAsia="Arial" w:cs="Arial"/>
          <w:b/>
        </w:rPr>
        <w:t>E         UNION EUROPEENNE</w:t>
      </w:r>
    </w:p>
    <w:p w14:paraId="74F63750">
      <w:pPr>
        <w:spacing w:before="32" w:line="245" w:lineRule="auto"/>
        <w:ind w:right="-38"/>
        <w:jc w:val="both"/>
        <w:rPr>
          <w:rFonts w:ascii="Century Gothic" w:hAnsi="Century Gothic" w:eastAsia="Arial" w:cs="Arial"/>
          <w:b/>
          <w:sz w:val="22"/>
          <w:szCs w:val="22"/>
        </w:rPr>
      </w:pPr>
      <w:r>
        <w:rPr>
          <w:rFonts w:ascii="Century Gothic" w:hAnsi="Century Gothic" w:eastAsia="Arial" w:cs="Arial"/>
          <w:b/>
          <w:sz w:val="22"/>
          <w:szCs w:val="22"/>
        </w:rPr>
        <w:t xml:space="preserve">                                                                   </w:t>
      </w:r>
      <w:r>
        <w:rPr>
          <w:rFonts w:ascii="Century Gothic" w:hAnsi="Century Gothic" w:eastAsia="Arial" w:cs="Arial"/>
          <w:b/>
          <w:spacing w:val="-8"/>
        </w:rPr>
        <w:t>A</w:t>
      </w:r>
      <w:r>
        <w:rPr>
          <w:rFonts w:ascii="Century Gothic" w:hAnsi="Century Gothic" w:eastAsia="Arial" w:cs="Arial"/>
          <w:b/>
        </w:rPr>
        <w:t>F</w:t>
      </w:r>
      <w:r>
        <w:rPr>
          <w:rFonts w:ascii="Century Gothic" w:hAnsi="Century Gothic" w:eastAsia="Arial" w:cs="Arial"/>
          <w:b/>
          <w:spacing w:val="-2"/>
        </w:rPr>
        <w:t>R</w:t>
      </w:r>
      <w:r>
        <w:rPr>
          <w:rFonts w:ascii="Century Gothic" w:hAnsi="Century Gothic" w:eastAsia="Arial" w:cs="Arial"/>
          <w:b/>
          <w:spacing w:val="1"/>
        </w:rPr>
        <w:t>I</w:t>
      </w:r>
      <w:r>
        <w:rPr>
          <w:rFonts w:ascii="Century Gothic" w:hAnsi="Century Gothic" w:eastAsia="Arial" w:cs="Arial"/>
          <w:b/>
          <w:spacing w:val="-1"/>
        </w:rPr>
        <w:t>C</w:t>
      </w:r>
      <w:r>
        <w:rPr>
          <w:rFonts w:ascii="Century Gothic" w:hAnsi="Century Gothic" w:eastAsia="Arial" w:cs="Arial"/>
          <w:b/>
          <w:spacing w:val="-8"/>
        </w:rPr>
        <w:t>A</w:t>
      </w:r>
      <w:r>
        <w:rPr>
          <w:rFonts w:ascii="Century Gothic" w:hAnsi="Century Gothic" w:eastAsia="Arial" w:cs="Arial"/>
          <w:b/>
          <w:spacing w:val="1"/>
        </w:rPr>
        <w:t>I</w:t>
      </w:r>
      <w:r>
        <w:rPr>
          <w:rFonts w:ascii="Century Gothic" w:hAnsi="Century Gothic" w:eastAsia="Arial" w:cs="Arial"/>
          <w:b/>
          <w:spacing w:val="-1"/>
        </w:rPr>
        <w:t>N</w:t>
      </w:r>
      <w:r>
        <w:rPr>
          <w:rFonts w:ascii="Century Gothic" w:hAnsi="Century Gothic" w:eastAsia="Arial" w:cs="Arial"/>
          <w:b/>
        </w:rPr>
        <w:t xml:space="preserve">E DE </w:t>
      </w:r>
      <w:r>
        <w:rPr>
          <w:rFonts w:ascii="Century Gothic" w:hAnsi="Century Gothic" w:eastAsia="Arial" w:cs="Arial"/>
          <w:b/>
          <w:spacing w:val="-1"/>
        </w:rPr>
        <w:t>DEVE</w:t>
      </w:r>
      <w:r>
        <w:rPr>
          <w:rFonts w:ascii="Century Gothic" w:hAnsi="Century Gothic" w:eastAsia="Arial" w:cs="Arial"/>
          <w:b/>
        </w:rPr>
        <w:t>LOP</w:t>
      </w:r>
      <w:r>
        <w:rPr>
          <w:rFonts w:ascii="Century Gothic" w:hAnsi="Century Gothic" w:eastAsia="Arial" w:cs="Arial"/>
          <w:b/>
          <w:spacing w:val="-1"/>
        </w:rPr>
        <w:t>PE</w:t>
      </w:r>
      <w:r>
        <w:rPr>
          <w:rFonts w:ascii="Century Gothic" w:hAnsi="Century Gothic" w:eastAsia="Arial" w:cs="Arial"/>
          <w:b/>
          <w:spacing w:val="1"/>
        </w:rPr>
        <w:t>M</w:t>
      </w:r>
      <w:r>
        <w:rPr>
          <w:rFonts w:ascii="Century Gothic" w:hAnsi="Century Gothic" w:eastAsia="Arial" w:cs="Arial"/>
          <w:b/>
          <w:spacing w:val="-1"/>
        </w:rPr>
        <w:t>EN</w:t>
      </w:r>
      <w:r>
        <w:rPr>
          <w:rFonts w:ascii="Century Gothic" w:hAnsi="Century Gothic" w:eastAsia="Arial" w:cs="Arial"/>
          <w:b/>
        </w:rPr>
        <w:t>T</w:t>
      </w:r>
    </w:p>
    <w:bookmarkEnd w:id="0"/>
    <w:p w14:paraId="108CA477">
      <w:pPr>
        <w:spacing w:before="32" w:line="245" w:lineRule="auto"/>
        <w:ind w:right="-38"/>
        <w:jc w:val="both"/>
        <w:rPr>
          <w:rFonts w:ascii="Century Gothic" w:hAnsi="Century Gothic" w:eastAsia="Arial" w:cs="Arial"/>
          <w:b/>
          <w:spacing w:val="-8"/>
          <w:sz w:val="10"/>
        </w:rPr>
      </w:pPr>
    </w:p>
    <w:p w14:paraId="7E8E3042">
      <w:pPr>
        <w:spacing w:line="245" w:lineRule="auto"/>
        <w:ind w:right="-38"/>
        <w:jc w:val="center"/>
        <w:rPr>
          <w:rFonts w:eastAsia="Arial"/>
          <w:b/>
        </w:rPr>
      </w:pPr>
      <w:r>
        <w:rPr>
          <w:rFonts w:eastAsia="Arial"/>
          <w:b/>
          <w:spacing w:val="1"/>
        </w:rPr>
        <w:t>MI</w:t>
      </w:r>
      <w:r>
        <w:rPr>
          <w:rFonts w:eastAsia="Arial"/>
          <w:b/>
        </w:rPr>
        <w:t>NIS</w:t>
      </w:r>
      <w:r>
        <w:rPr>
          <w:rFonts w:eastAsia="Arial"/>
          <w:b/>
          <w:spacing w:val="1"/>
        </w:rPr>
        <w:t>T</w:t>
      </w:r>
      <w:r>
        <w:rPr>
          <w:rFonts w:eastAsia="Arial"/>
          <w:b/>
        </w:rPr>
        <w:t>ERE</w:t>
      </w:r>
      <w:r>
        <w:rPr>
          <w:rFonts w:eastAsia="Arial"/>
          <w:b/>
          <w:spacing w:val="1"/>
        </w:rPr>
        <w:t xml:space="preserve"> </w:t>
      </w:r>
      <w:r>
        <w:rPr>
          <w:rFonts w:eastAsia="Arial"/>
          <w:b/>
        </w:rPr>
        <w:t>D</w:t>
      </w:r>
      <w:r>
        <w:rPr>
          <w:rFonts w:eastAsia="Arial"/>
          <w:b/>
          <w:spacing w:val="-1"/>
        </w:rPr>
        <w:t>E</w:t>
      </w:r>
      <w:r>
        <w:rPr>
          <w:rFonts w:eastAsia="Arial"/>
          <w:b/>
        </w:rPr>
        <w:t xml:space="preserve">S INFRASTRUCTURES ET DES TRAVAUX PUBLICS </w:t>
      </w:r>
    </w:p>
    <w:p w14:paraId="2FDE5BAC">
      <w:pPr>
        <w:spacing w:line="245" w:lineRule="auto"/>
        <w:ind w:right="-38"/>
        <w:jc w:val="center"/>
        <w:rPr>
          <w:rFonts w:eastAsia="Arial"/>
          <w:b/>
          <w:sz w:val="10"/>
        </w:rPr>
      </w:pPr>
    </w:p>
    <w:p w14:paraId="006FAD88">
      <w:pPr>
        <w:spacing w:line="245" w:lineRule="auto"/>
        <w:ind w:right="-38"/>
        <w:jc w:val="center"/>
        <w:rPr>
          <w:rFonts w:eastAsia="Arial"/>
          <w:b/>
        </w:rPr>
      </w:pPr>
      <w:r>
        <w:rPr>
          <w:rFonts w:eastAsia="Arial"/>
          <w:b/>
        </w:rPr>
        <w:t>DIRECTION NATIONALE DES ROUTES NATIONALES</w:t>
      </w:r>
    </w:p>
    <w:p w14:paraId="70397F91">
      <w:pPr>
        <w:pStyle w:val="14"/>
        <w:tabs>
          <w:tab w:val="left" w:pos="732"/>
        </w:tabs>
        <w:autoSpaceDE w:val="0"/>
        <w:autoSpaceDN w:val="0"/>
        <w:spacing w:line="276" w:lineRule="auto"/>
        <w:ind w:left="0" w:right="117"/>
        <w:jc w:val="both"/>
        <w:rPr>
          <w:rFonts w:ascii="Times New Roman" w:hAnsi="Times New Roman" w:cs="Times New Roman"/>
          <w:b/>
          <w:sz w:val="10"/>
          <w:szCs w:val="20"/>
          <w:lang w:val="fr-FR"/>
        </w:rPr>
      </w:pPr>
    </w:p>
    <w:p w14:paraId="3AED8A4F">
      <w:pPr>
        <w:jc w:val="center"/>
        <w:rPr>
          <w:rFonts w:eastAsia="Arial"/>
          <w:b/>
        </w:rPr>
      </w:pPr>
      <w:r>
        <w:rPr>
          <w:rFonts w:eastAsia="Arial"/>
          <w:b/>
        </w:rPr>
        <w:t>UNITE DE GESTION DES PROJETS TRANSPORTS-BAD</w:t>
      </w:r>
    </w:p>
    <w:p w14:paraId="6DDF469D">
      <w:pPr>
        <w:jc w:val="center"/>
        <w:rPr>
          <w:rFonts w:eastAsia="Arial"/>
          <w:b/>
          <w:sz w:val="6"/>
        </w:rPr>
      </w:pPr>
    </w:p>
    <w:p w14:paraId="0C796C39">
      <w:pPr>
        <w:suppressAutoHyphens/>
        <w:jc w:val="center"/>
        <w:rPr>
          <w:b/>
          <w:sz w:val="28"/>
          <w:szCs w:val="28"/>
        </w:rPr>
      </w:pPr>
      <w:r>
        <w:rPr>
          <w:b/>
          <w:sz w:val="28"/>
          <w:szCs w:val="28"/>
        </w:rPr>
        <w:t>AVIS A MANIFESTATIONS D’INTERET</w:t>
      </w:r>
    </w:p>
    <w:p w14:paraId="29397A56">
      <w:pPr>
        <w:suppressAutoHyphens/>
        <w:jc w:val="center"/>
        <w:rPr>
          <w:b/>
          <w:sz w:val="22"/>
          <w:szCs w:val="28"/>
        </w:rPr>
      </w:pPr>
      <w:r>
        <w:rPr>
          <w:b/>
          <w:sz w:val="22"/>
          <w:szCs w:val="28"/>
        </w:rPr>
        <w:t>(Services de consultants individuels)</w:t>
      </w:r>
    </w:p>
    <w:p w14:paraId="29A4DEE9">
      <w:pPr>
        <w:spacing w:line="276" w:lineRule="auto"/>
        <w:jc w:val="both"/>
        <w:rPr>
          <w:rFonts w:ascii="Century Gothic" w:hAnsi="Century Gothic"/>
          <w:b/>
          <w:bCs/>
          <w:spacing w:val="-2"/>
          <w:sz w:val="4"/>
        </w:rPr>
      </w:pPr>
    </w:p>
    <w:p w14:paraId="08BF2FDF">
      <w:pPr>
        <w:spacing w:line="276" w:lineRule="auto"/>
        <w:jc w:val="both"/>
        <w:rPr>
          <w:b/>
          <w:bCs/>
          <w:spacing w:val="-2"/>
          <w:sz w:val="22"/>
          <w:szCs w:val="22"/>
        </w:rPr>
      </w:pPr>
      <w:r>
        <w:rPr>
          <w:b/>
          <w:bCs/>
          <w:spacing w:val="-2"/>
          <w:sz w:val="22"/>
          <w:szCs w:val="22"/>
        </w:rPr>
        <w:t>Secteur des Transports</w:t>
      </w:r>
    </w:p>
    <w:p w14:paraId="00325812">
      <w:pPr>
        <w:rPr>
          <w:rFonts w:eastAsiaTheme="minorHAnsi"/>
          <w:b/>
          <w:bCs/>
        </w:rPr>
      </w:pPr>
      <w:r>
        <w:rPr>
          <w:rFonts w:eastAsiaTheme="minorHAnsi"/>
          <w:b/>
          <w:bCs/>
        </w:rPr>
        <w:t>PROJET DE RECONSTRUCTION DE LA ROUTE COYAH FARMOREAH FRONTIERE SIERRA LEONE</w:t>
      </w:r>
    </w:p>
    <w:p w14:paraId="7010D5A1">
      <w:pPr>
        <w:rPr>
          <w:b/>
          <w:sz w:val="22"/>
          <w:szCs w:val="22"/>
          <w:highlight w:val="yellow"/>
        </w:rPr>
      </w:pPr>
      <w:r>
        <w:rPr>
          <w:b/>
          <w:sz w:val="22"/>
          <w:szCs w:val="22"/>
        </w:rPr>
        <w:t>N° d’Identification du projet :</w:t>
      </w:r>
      <w:r>
        <w:rPr>
          <w:spacing w:val="-2"/>
          <w:sz w:val="22"/>
          <w:szCs w:val="22"/>
        </w:rPr>
        <w:t xml:space="preserve"> P-Z1-DB0-160 </w:t>
      </w:r>
    </w:p>
    <w:p w14:paraId="2D583520">
      <w:pPr>
        <w:jc w:val="both"/>
        <w:rPr>
          <w:b/>
          <w:spacing w:val="-2"/>
          <w:sz w:val="22"/>
          <w:szCs w:val="22"/>
        </w:rPr>
      </w:pPr>
      <w:r>
        <w:rPr>
          <w:b/>
          <w:sz w:val="22"/>
          <w:szCs w:val="22"/>
        </w:rPr>
        <w:t>Référence de l’avis :</w:t>
      </w:r>
      <w:r>
        <w:rPr>
          <w:rFonts w:eastAsia="SimSun"/>
          <w:b/>
          <w:caps/>
          <w:sz w:val="22"/>
          <w:szCs w:val="22"/>
        </w:rPr>
        <w:t xml:space="preserve"> </w:t>
      </w:r>
      <w:r>
        <w:rPr>
          <w:b/>
          <w:spacing w:val="-2"/>
          <w:sz w:val="22"/>
          <w:szCs w:val="22"/>
        </w:rPr>
        <w:t>N° 10C/MITP/CAB/DNRN/UGP-BAD du 02/08/2024</w:t>
      </w:r>
    </w:p>
    <w:p w14:paraId="4101A18D">
      <w:pPr>
        <w:rPr>
          <w:rFonts w:eastAsia="SimSun"/>
          <w:sz w:val="22"/>
          <w:szCs w:val="22"/>
        </w:rPr>
      </w:pPr>
      <w:r>
        <w:rPr>
          <w:rFonts w:eastAsia="SimSun"/>
          <w:b/>
          <w:sz w:val="22"/>
          <w:szCs w:val="22"/>
        </w:rPr>
        <w:t>Intitulé de la mission :</w:t>
      </w:r>
      <w:r>
        <w:rPr>
          <w:rFonts w:eastAsia="SimSun"/>
          <w:sz w:val="22"/>
          <w:szCs w:val="22"/>
        </w:rPr>
        <w:t xml:space="preserve"> Recrutement d’un consultant individuel chargé de renforcement des capacités du personnel de l’Unité de Gestion des Projets Transports (UGP-BAD) à l’utilisation de quelques logiciels spécifiques.</w:t>
      </w:r>
    </w:p>
    <w:p w14:paraId="2F794B13">
      <w:pPr>
        <w:rPr>
          <w:rFonts w:eastAsia="SimSun"/>
          <w:sz w:val="22"/>
          <w:szCs w:val="22"/>
        </w:rPr>
      </w:pPr>
    </w:p>
    <w:p w14:paraId="5F6E53D6">
      <w:pPr>
        <w:spacing w:line="276" w:lineRule="auto"/>
        <w:jc w:val="both"/>
        <w:rPr>
          <w:spacing w:val="-2"/>
          <w:sz w:val="22"/>
          <w:szCs w:val="22"/>
        </w:rPr>
      </w:pPr>
      <w:r>
        <w:rPr>
          <w:spacing w:val="-2"/>
          <w:sz w:val="22"/>
          <w:szCs w:val="22"/>
        </w:rPr>
        <w:t xml:space="preserve">Dans ses attributions régaliennes, le Ministère des Infrastructures et des Travaux Publics de la République de Guinée, a entre autres, la charge de la mise en œuvre des projets de transports financés par les bailleurs de fonds internationaux. A ce titre, il est en affaires avec la Banque Africaine de Développement (BAD) et l’Union Européenne dont le portefeuille de projets comprend quatre (4) projets routiers en cours d’exécution. </w:t>
      </w:r>
    </w:p>
    <w:p w14:paraId="2693343A">
      <w:pPr>
        <w:spacing w:line="276" w:lineRule="auto"/>
        <w:jc w:val="both"/>
        <w:rPr>
          <w:spacing w:val="-2"/>
          <w:sz w:val="22"/>
          <w:szCs w:val="22"/>
        </w:rPr>
      </w:pPr>
      <w:r>
        <w:rPr>
          <w:spacing w:val="-2"/>
          <w:sz w:val="22"/>
          <w:szCs w:val="22"/>
        </w:rPr>
        <w:t xml:space="preserve">L’Unité de Gestion des Projets de Transports (UGP-BAD) est l’organe unique chargé de la mise œuvre des projets routiers financés par le Groupe de la Banque Africaine de Développement. Il s’agit actuellement du Projet de route Lola-N’Zoo-frontière de la Côte d’Ivoire en cours de réalisation dans le cadre de la mise en œuvre du programme d’aménagement de routes et de facilitation du transport au sein de l’Union du fleuve Mano (PAR-FT/UFM), du Projet de route Coyah-Farmoréah-frontière de Sierra Leone, également en cours d’exécution, du Projet multinational de route Boké-Québo entre la Guinée et la Guinée Bissau et le Programme d’aménagement de routes et de facilitation du transport au sein de l’Union du Fleuve Mano – Phase 3 qui sont en cours de démarrage. </w:t>
      </w:r>
    </w:p>
    <w:p w14:paraId="3091A911">
      <w:pPr>
        <w:spacing w:line="276" w:lineRule="auto"/>
        <w:jc w:val="both"/>
        <w:rPr>
          <w:spacing w:val="-2"/>
          <w:sz w:val="22"/>
          <w:szCs w:val="22"/>
        </w:rPr>
      </w:pPr>
      <w:r>
        <w:rPr>
          <w:spacing w:val="-2"/>
          <w:sz w:val="22"/>
          <w:szCs w:val="22"/>
        </w:rPr>
        <w:t>Ainsi, le gouvernement de la Guinée a l’intention d’utiliser une partie des sommes accordées au titre du Projet de route Coyah-Farmoréah-frontière de Sierra Leone pour financer le contrat de Service de Consultant individuel chargé de renforcement des capacités du personnel de l’Unité de Gestion des Projets Transports (UGP-BAD) à l’utilisation de quelques logiciels spécifiques.</w:t>
      </w:r>
    </w:p>
    <w:p w14:paraId="497ED1D3">
      <w:pPr>
        <w:spacing w:before="240" w:after="240" w:line="276" w:lineRule="auto"/>
        <w:jc w:val="both"/>
        <w:rPr>
          <w:sz w:val="22"/>
          <w:szCs w:val="22"/>
        </w:rPr>
      </w:pPr>
      <w:r>
        <w:rPr>
          <w:sz w:val="22"/>
          <w:szCs w:val="22"/>
        </w:rPr>
        <w:t xml:space="preserve">Placé sous la responsabilité du coordonnateur de l’Unité de Gestion des Projets de transports (UGP-BAD), le consultant a pour  mission de renforcer les capacités techniques et opérationnelles du personnel de l’Unité de Gestion des Projets de transports (UGP-BAD) par le développement des compétences en matière d’utilisation des logiciels spécifiques permettant d’améliorer la performance du personnel de l’UGP-BAD et de fluidifier l’exécution des activités des projets financés par  le Groupe de la Banque Africaine de Développement (BAD) et d’autres bailleurs de Fonds. </w:t>
      </w:r>
    </w:p>
    <w:p w14:paraId="28A9636D">
      <w:pPr>
        <w:spacing w:before="240" w:after="240" w:line="276" w:lineRule="auto"/>
        <w:jc w:val="both"/>
        <w:rPr>
          <w:sz w:val="22"/>
          <w:szCs w:val="22"/>
        </w:rPr>
      </w:pPr>
      <w:r>
        <w:rPr>
          <w:sz w:val="22"/>
          <w:szCs w:val="22"/>
        </w:rPr>
        <w:t>Plus spécifiquement, la formation portera sur l’utilisation des logiciels tels que : pack office (Word, Excel avancé, power point, Publisher), MS projet, power BI, auto cad.</w:t>
      </w:r>
    </w:p>
    <w:p w14:paraId="66EAA11C">
      <w:pPr>
        <w:spacing w:before="240" w:line="276" w:lineRule="auto"/>
        <w:jc w:val="both"/>
        <w:rPr>
          <w:sz w:val="22"/>
          <w:szCs w:val="22"/>
        </w:rPr>
      </w:pPr>
      <w:r>
        <w:rPr>
          <w:sz w:val="22"/>
          <w:szCs w:val="22"/>
        </w:rPr>
        <w:t xml:space="preserve">Le/la consultant(e) sera chargé de : </w:t>
      </w:r>
    </w:p>
    <w:p w14:paraId="52339A3E">
      <w:pPr>
        <w:pStyle w:val="14"/>
        <w:numPr>
          <w:ilvl w:val="0"/>
          <w:numId w:val="1"/>
        </w:numPr>
        <w:spacing w:before="240" w:after="240" w:line="276" w:lineRule="auto"/>
        <w:jc w:val="both"/>
        <w:rPr>
          <w:rFonts w:ascii="Times New Roman" w:hAnsi="Times New Roman" w:cs="Times New Roman"/>
          <w:lang w:val="fr-FR"/>
        </w:rPr>
      </w:pPr>
      <w:r>
        <w:rPr>
          <w:rFonts w:ascii="Times New Roman" w:hAnsi="Times New Roman" w:cs="Times New Roman"/>
          <w:lang w:val="fr-FR"/>
        </w:rPr>
        <w:t xml:space="preserve">Elaboration de la méthodologie et du planning de formation ; </w:t>
      </w:r>
    </w:p>
    <w:p w14:paraId="20B12C05">
      <w:pPr>
        <w:pStyle w:val="14"/>
        <w:numPr>
          <w:ilvl w:val="0"/>
          <w:numId w:val="1"/>
        </w:numPr>
        <w:spacing w:before="240" w:after="240" w:line="276" w:lineRule="auto"/>
        <w:jc w:val="both"/>
        <w:rPr>
          <w:rFonts w:ascii="Times New Roman" w:hAnsi="Times New Roman" w:cs="Times New Roman"/>
          <w:lang w:val="fr-FR"/>
        </w:rPr>
      </w:pPr>
      <w:r>
        <w:rPr>
          <w:rFonts w:ascii="Times New Roman" w:hAnsi="Times New Roman" w:cs="Times New Roman"/>
          <w:lang w:val="fr-FR"/>
        </w:rPr>
        <w:t>Elaboration des modules de formation ;</w:t>
      </w:r>
    </w:p>
    <w:p w14:paraId="47F27A15">
      <w:pPr>
        <w:pStyle w:val="14"/>
        <w:numPr>
          <w:ilvl w:val="0"/>
          <w:numId w:val="1"/>
        </w:numPr>
        <w:spacing w:before="240" w:after="240" w:line="276" w:lineRule="auto"/>
        <w:jc w:val="both"/>
        <w:rPr>
          <w:rFonts w:ascii="Times New Roman" w:hAnsi="Times New Roman" w:cs="Times New Roman"/>
          <w:lang w:val="fr-FR"/>
        </w:rPr>
      </w:pPr>
      <w:r>
        <w:rPr>
          <w:rFonts w:ascii="Times New Roman" w:hAnsi="Times New Roman" w:cs="Times New Roman"/>
          <w:lang w:val="fr-FR"/>
        </w:rPr>
        <w:t>Mise à disposition des manuels didactiques pour chaque logiciel ;</w:t>
      </w:r>
    </w:p>
    <w:p w14:paraId="3C424F4C">
      <w:pPr>
        <w:pStyle w:val="14"/>
        <w:numPr>
          <w:ilvl w:val="0"/>
          <w:numId w:val="1"/>
        </w:numPr>
        <w:spacing w:before="240" w:after="240" w:line="276" w:lineRule="auto"/>
        <w:jc w:val="both"/>
        <w:rPr>
          <w:rFonts w:ascii="Times New Roman" w:hAnsi="Times New Roman" w:cs="Times New Roman"/>
          <w:lang w:val="fr-FR"/>
        </w:rPr>
      </w:pPr>
      <w:r>
        <w:rPr>
          <w:rFonts w:ascii="Times New Roman" w:hAnsi="Times New Roman" w:cs="Times New Roman"/>
          <w:lang w:val="fr-FR"/>
        </w:rPr>
        <w:t>Disposer des matériels didactiques ;</w:t>
      </w:r>
    </w:p>
    <w:p w14:paraId="56E8DE04">
      <w:pPr>
        <w:pStyle w:val="14"/>
        <w:numPr>
          <w:ilvl w:val="0"/>
          <w:numId w:val="1"/>
        </w:numPr>
        <w:spacing w:before="240" w:after="240" w:line="276" w:lineRule="auto"/>
        <w:jc w:val="both"/>
        <w:rPr>
          <w:rFonts w:ascii="Times New Roman" w:hAnsi="Times New Roman" w:cs="Times New Roman"/>
          <w:lang w:val="fr-FR"/>
        </w:rPr>
      </w:pPr>
      <w:r>
        <w:rPr>
          <w:rFonts w:ascii="Times New Roman" w:hAnsi="Times New Roman" w:cs="Times New Roman"/>
          <w:lang w:val="fr-FR"/>
        </w:rPr>
        <w:t>Mise à disposition, installation et paramétrage des logiciels concernés ;</w:t>
      </w:r>
    </w:p>
    <w:p w14:paraId="3E9A1D44">
      <w:pPr>
        <w:pStyle w:val="14"/>
        <w:numPr>
          <w:ilvl w:val="0"/>
          <w:numId w:val="1"/>
        </w:numPr>
        <w:spacing w:before="240" w:after="240" w:line="276" w:lineRule="auto"/>
        <w:jc w:val="both"/>
        <w:rPr>
          <w:rFonts w:ascii="Times New Roman" w:hAnsi="Times New Roman" w:cs="Times New Roman"/>
          <w:lang w:val="fr-FR"/>
        </w:rPr>
      </w:pPr>
      <w:r>
        <w:rPr>
          <w:rFonts w:ascii="Times New Roman" w:hAnsi="Times New Roman" w:cs="Times New Roman"/>
          <w:lang w:val="fr-FR"/>
        </w:rPr>
        <w:t>Animation des modules ;</w:t>
      </w:r>
    </w:p>
    <w:p w14:paraId="39617D10">
      <w:pPr>
        <w:pStyle w:val="14"/>
        <w:numPr>
          <w:ilvl w:val="0"/>
          <w:numId w:val="1"/>
        </w:numPr>
        <w:spacing w:before="240" w:after="240" w:line="276" w:lineRule="auto"/>
        <w:jc w:val="both"/>
        <w:rPr>
          <w:rFonts w:ascii="Times New Roman" w:hAnsi="Times New Roman" w:cs="Times New Roman"/>
          <w:lang w:val="fr-FR"/>
        </w:rPr>
      </w:pPr>
      <w:r>
        <w:rPr>
          <w:rFonts w:ascii="Times New Roman" w:hAnsi="Times New Roman" w:cs="Times New Roman"/>
          <w:lang w:val="fr-FR"/>
        </w:rPr>
        <w:t>Procéder aux études des cas pratiques ;</w:t>
      </w:r>
    </w:p>
    <w:p w14:paraId="6C07B3F7">
      <w:pPr>
        <w:pStyle w:val="14"/>
        <w:numPr>
          <w:ilvl w:val="0"/>
          <w:numId w:val="1"/>
        </w:numPr>
        <w:spacing w:before="240" w:after="240" w:line="276" w:lineRule="auto"/>
        <w:jc w:val="both"/>
        <w:rPr>
          <w:rFonts w:ascii="Times New Roman" w:hAnsi="Times New Roman" w:cs="Times New Roman"/>
          <w:lang w:val="fr-FR"/>
        </w:rPr>
      </w:pPr>
      <w:r>
        <w:rPr>
          <w:rFonts w:ascii="Times New Roman" w:hAnsi="Times New Roman" w:cs="Times New Roman"/>
          <w:lang w:val="fr-FR"/>
        </w:rPr>
        <w:t>Délivrance des attestations de formation</w:t>
      </w:r>
    </w:p>
    <w:p w14:paraId="527AF8EA">
      <w:pPr>
        <w:spacing w:before="240" w:after="240" w:line="276" w:lineRule="auto"/>
        <w:jc w:val="both"/>
        <w:rPr>
          <w:sz w:val="22"/>
          <w:szCs w:val="22"/>
        </w:rPr>
      </w:pPr>
      <w:r>
        <w:rPr>
          <w:sz w:val="22"/>
          <w:szCs w:val="22"/>
        </w:rPr>
        <w:t>La durée du contrat sera de quatre (4) mois.</w:t>
      </w:r>
    </w:p>
    <w:p w14:paraId="02838F40">
      <w:pPr>
        <w:spacing w:before="240" w:after="240" w:line="276" w:lineRule="auto"/>
        <w:rPr>
          <w:sz w:val="22"/>
          <w:szCs w:val="22"/>
        </w:rPr>
      </w:pPr>
      <w:r>
        <w:rPr>
          <w:b/>
          <w:spacing w:val="-2"/>
          <w:sz w:val="22"/>
          <w:szCs w:val="22"/>
        </w:rPr>
        <w:t>Les termes de référence de la mission peuvent être téléchargés à travers le lien :</w:t>
      </w:r>
      <w:r>
        <w:rPr>
          <w:spacing w:val="-2"/>
          <w:sz w:val="22"/>
          <w:szCs w:val="22"/>
        </w:rPr>
        <w:t xml:space="preserve"> </w:t>
      </w:r>
      <w:r>
        <w:fldChar w:fldCharType="begin"/>
      </w:r>
      <w:r>
        <w:instrText xml:space="preserve"> HYPERLINK "https://drive.google.com/file/d/1TRP9j1Mo9rcCioC5QVCyF_7NLIZiGAiQ/view?usp=sharing" </w:instrText>
      </w:r>
      <w:r>
        <w:fldChar w:fldCharType="separate"/>
      </w:r>
      <w:r>
        <w:rPr>
          <w:rStyle w:val="5"/>
          <w:sz w:val="22"/>
          <w:szCs w:val="22"/>
        </w:rPr>
        <w:t>https://drive.google.com/file/d/1TRP9j1Mo9rcCioC5QVCyF_7NLIZiGAiQ/view?usp=sharing</w:t>
      </w:r>
      <w:r>
        <w:rPr>
          <w:rStyle w:val="5"/>
          <w:sz w:val="22"/>
          <w:szCs w:val="22"/>
        </w:rPr>
        <w:fldChar w:fldCharType="end"/>
      </w:r>
      <w:r>
        <w:rPr>
          <w:sz w:val="22"/>
          <w:szCs w:val="22"/>
        </w:rPr>
        <w:t xml:space="preserve"> </w:t>
      </w:r>
    </w:p>
    <w:p w14:paraId="556197F7">
      <w:pPr>
        <w:spacing w:before="240" w:after="240" w:line="276" w:lineRule="auto"/>
        <w:rPr>
          <w:sz w:val="22"/>
          <w:szCs w:val="22"/>
        </w:rPr>
      </w:pPr>
      <w:r>
        <w:rPr>
          <w:sz w:val="22"/>
          <w:szCs w:val="22"/>
        </w:rPr>
        <w:t xml:space="preserve">Le Ministère des Infrastructures et des Travaux Publics à travers l’Unité de Gestion des Projets Transports (UGP-BAD) invite les Consultants individuels à présenter leur candidature en vue de fournir les services décrits ci-dessus. Les consultants intéressés doivent produire les informations sur leur capacité et expérience démontrant qu’ils sont qualifiés pour les prestations </w:t>
      </w:r>
      <w:r>
        <w:rPr>
          <w:b/>
          <w:i/>
          <w:sz w:val="22"/>
          <w:szCs w:val="22"/>
        </w:rPr>
        <w:t>(documentation, référence de prestations similaires avec les justificatifs, expériences des missions similaires etc.).</w:t>
      </w:r>
      <w:r>
        <w:rPr>
          <w:sz w:val="22"/>
          <w:szCs w:val="22"/>
        </w:rPr>
        <w:t xml:space="preserve"> </w:t>
      </w:r>
    </w:p>
    <w:p w14:paraId="79D4C56E">
      <w:pPr>
        <w:spacing w:before="240" w:line="276" w:lineRule="auto"/>
        <w:jc w:val="both"/>
        <w:rPr>
          <w:b/>
          <w:sz w:val="22"/>
          <w:szCs w:val="22"/>
        </w:rPr>
      </w:pPr>
      <w:r>
        <w:rPr>
          <w:b/>
          <w:sz w:val="22"/>
          <w:szCs w:val="22"/>
        </w:rPr>
        <w:t>Qualification et expériences requises des consultants :</w:t>
      </w:r>
    </w:p>
    <w:p w14:paraId="6161F569">
      <w:pPr>
        <w:spacing w:after="120"/>
        <w:jc w:val="both"/>
        <w:rPr>
          <w:sz w:val="22"/>
          <w:szCs w:val="22"/>
        </w:rPr>
      </w:pPr>
      <w:r>
        <w:rPr>
          <w:sz w:val="22"/>
          <w:szCs w:val="22"/>
        </w:rPr>
        <w:t>Les candidats intéressés devront avoir le profil suivant :</w:t>
      </w:r>
    </w:p>
    <w:p w14:paraId="0610B722">
      <w:pPr>
        <w:pStyle w:val="14"/>
        <w:numPr>
          <w:ilvl w:val="0"/>
          <w:numId w:val="2"/>
        </w:numPr>
        <w:spacing w:after="120"/>
        <w:jc w:val="both"/>
        <w:rPr>
          <w:rFonts w:ascii="Times New Roman" w:hAnsi="Times New Roman" w:cs="Times New Roman"/>
          <w:lang w:val="fr-FR"/>
        </w:rPr>
      </w:pPr>
      <w:r>
        <w:rPr>
          <w:rFonts w:ascii="Times New Roman" w:hAnsi="Times New Roman" w:cs="Times New Roman"/>
          <w:lang w:val="fr-FR"/>
        </w:rPr>
        <w:t>Être titulaire d’un diplôme universitaire d’au moins (Bac + 4) en informatiques, MIAGE, télécommunication, management des projets, statistique, ou tous autres diplômes équivalent ;</w:t>
      </w:r>
    </w:p>
    <w:p w14:paraId="4A4E3BBD">
      <w:pPr>
        <w:pStyle w:val="14"/>
        <w:numPr>
          <w:ilvl w:val="0"/>
          <w:numId w:val="2"/>
        </w:numPr>
        <w:spacing w:after="120"/>
        <w:jc w:val="both"/>
        <w:rPr>
          <w:rFonts w:ascii="Times New Roman" w:hAnsi="Times New Roman" w:cs="Times New Roman"/>
          <w:lang w:val="fr-FR"/>
        </w:rPr>
      </w:pPr>
      <w:r>
        <w:rPr>
          <w:rFonts w:ascii="Times New Roman" w:hAnsi="Times New Roman" w:cs="Times New Roman"/>
          <w:lang w:val="fr-FR"/>
        </w:rPr>
        <w:t xml:space="preserve">Avoir une expérience générale d’au moins dix (10) ans dans les domaines de formation ; </w:t>
      </w:r>
    </w:p>
    <w:p w14:paraId="365697D4">
      <w:pPr>
        <w:pStyle w:val="14"/>
        <w:numPr>
          <w:ilvl w:val="0"/>
          <w:numId w:val="2"/>
        </w:numPr>
        <w:spacing w:after="120"/>
        <w:jc w:val="both"/>
        <w:rPr>
          <w:rFonts w:ascii="Times New Roman" w:hAnsi="Times New Roman" w:cs="Times New Roman"/>
          <w:lang w:val="fr-FR"/>
        </w:rPr>
      </w:pPr>
      <w:r>
        <w:rPr>
          <w:rFonts w:ascii="Times New Roman" w:hAnsi="Times New Roman" w:cs="Times New Roman"/>
          <w:lang w:val="fr-FR"/>
        </w:rPr>
        <w:t>Avoir au moins quatre (04) ans d’expériences professionnelles en qualité de formateur des logiciels concernés ;</w:t>
      </w:r>
    </w:p>
    <w:p w14:paraId="330B7583">
      <w:pPr>
        <w:pStyle w:val="14"/>
        <w:numPr>
          <w:ilvl w:val="0"/>
          <w:numId w:val="2"/>
        </w:numPr>
        <w:spacing w:after="120"/>
        <w:jc w:val="both"/>
        <w:rPr>
          <w:rFonts w:ascii="Times New Roman" w:hAnsi="Times New Roman" w:cs="Times New Roman"/>
          <w:lang w:val="fr-FR"/>
        </w:rPr>
      </w:pPr>
      <w:r>
        <w:rPr>
          <w:rFonts w:ascii="Times New Roman" w:hAnsi="Times New Roman" w:cs="Times New Roman"/>
          <w:lang w:val="fr-FR"/>
        </w:rPr>
        <w:t xml:space="preserve">Avoir réaliser trois (03) missions de renforcement des capacités portant sur les logiciels concernés, prouvés par les attestations de services faits ; </w:t>
      </w:r>
    </w:p>
    <w:p w14:paraId="59A7DFBB">
      <w:pPr>
        <w:pStyle w:val="14"/>
        <w:numPr>
          <w:ilvl w:val="0"/>
          <w:numId w:val="2"/>
        </w:numPr>
        <w:spacing w:after="120"/>
        <w:jc w:val="both"/>
        <w:rPr>
          <w:rFonts w:ascii="Times New Roman" w:hAnsi="Times New Roman" w:cs="Times New Roman"/>
          <w:lang w:val="fr-FR"/>
        </w:rPr>
      </w:pPr>
      <w:r>
        <w:rPr>
          <w:rFonts w:ascii="Times New Roman" w:hAnsi="Times New Roman" w:cs="Times New Roman"/>
          <w:lang w:val="fr-FR"/>
        </w:rPr>
        <w:t>Avoir justifier la maitrise des logiciels concernés par les attestations de formation ;</w:t>
      </w:r>
    </w:p>
    <w:p w14:paraId="183EEB2B">
      <w:pPr>
        <w:pStyle w:val="14"/>
        <w:numPr>
          <w:ilvl w:val="0"/>
          <w:numId w:val="2"/>
        </w:numPr>
        <w:spacing w:after="120"/>
        <w:jc w:val="both"/>
        <w:rPr>
          <w:rFonts w:ascii="Times New Roman" w:hAnsi="Times New Roman" w:cs="Times New Roman"/>
          <w:lang w:val="fr-FR"/>
        </w:rPr>
      </w:pPr>
      <w:r>
        <w:rPr>
          <w:rFonts w:ascii="Times New Roman" w:hAnsi="Times New Roman" w:cs="Times New Roman"/>
          <w:lang w:val="fr-FR"/>
        </w:rPr>
        <w:t>Avoir justifier la maîtrise de la langue française.</w:t>
      </w:r>
    </w:p>
    <w:p w14:paraId="4E46341F">
      <w:pPr>
        <w:spacing w:after="120"/>
        <w:jc w:val="both"/>
        <w:rPr>
          <w:sz w:val="22"/>
          <w:szCs w:val="22"/>
        </w:rPr>
      </w:pPr>
      <w:r>
        <w:rPr>
          <w:sz w:val="22"/>
          <w:szCs w:val="22"/>
        </w:rPr>
        <w:t xml:space="preserve">Les critères d’éligibilité, l’établissement de la liste restreinte et la procédure de sélection seront conformes au </w:t>
      </w:r>
      <w:r>
        <w:rPr>
          <w:b/>
          <w:sz w:val="22"/>
          <w:szCs w:val="22"/>
        </w:rPr>
        <w:t>« Cadre de passation des marchés pour les opérations financées par le Groupe de la Banque »,</w:t>
      </w:r>
      <w:r>
        <w:rPr>
          <w:sz w:val="22"/>
          <w:szCs w:val="22"/>
        </w:rPr>
        <w:t xml:space="preserve"> Edition octobre 2015 de la Banque Africaine de Développement, qui est disponible sur le site web de la Banque à l’adresse : </w:t>
      </w:r>
      <w:r>
        <w:fldChar w:fldCharType="begin"/>
      </w:r>
      <w:r>
        <w:instrText xml:space="preserve"> HYPERLINK "http://www.afdb.org" </w:instrText>
      </w:r>
      <w:r>
        <w:fldChar w:fldCharType="separate"/>
      </w:r>
      <w:r>
        <w:rPr>
          <w:rStyle w:val="5"/>
          <w:sz w:val="22"/>
          <w:szCs w:val="22"/>
        </w:rPr>
        <w:t>http://www.afdb.org</w:t>
      </w:r>
      <w:r>
        <w:rPr>
          <w:rStyle w:val="5"/>
          <w:sz w:val="22"/>
          <w:szCs w:val="22"/>
        </w:rPr>
        <w:fldChar w:fldCharType="end"/>
      </w:r>
      <w:r>
        <w:rPr>
          <w:sz w:val="22"/>
          <w:szCs w:val="22"/>
        </w:rPr>
        <w:t>. L’intérêt manifesté par un consultant n’implique aucune obligation de la part de l’Emprunteur de le retenir sur la liste restreinte.</w:t>
      </w:r>
    </w:p>
    <w:p w14:paraId="1A92E9A5">
      <w:pPr>
        <w:spacing w:after="120"/>
        <w:jc w:val="both"/>
        <w:rPr>
          <w:sz w:val="22"/>
          <w:szCs w:val="22"/>
        </w:rPr>
      </w:pPr>
      <w:r>
        <w:rPr>
          <w:sz w:val="22"/>
          <w:szCs w:val="22"/>
        </w:rPr>
        <w:t>Les consultant(e)s seront évalué(e)s sur la base de leurs dossiers de candidature, suivant les critères et le barème de notation ci-après :</w:t>
      </w:r>
    </w:p>
    <w:tbl>
      <w:tblPr>
        <w:tblStyle w:val="27"/>
        <w:tblW w:w="10065"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0" w:type="dxa"/>
          <w:left w:w="108" w:type="dxa"/>
          <w:bottom w:w="0" w:type="dxa"/>
          <w:right w:w="108" w:type="dxa"/>
        </w:tblCellMar>
      </w:tblPr>
      <w:tblGrid>
        <w:gridCol w:w="568"/>
        <w:gridCol w:w="6974"/>
        <w:gridCol w:w="1247"/>
        <w:gridCol w:w="1276"/>
      </w:tblGrid>
      <w:tr w14:paraId="3B351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c>
          <w:tcPr>
            <w:tcW w:w="568" w:type="dxa"/>
            <w:shd w:val="clear" w:color="auto" w:fill="FFFFFF" w:themeFill="background1"/>
          </w:tcPr>
          <w:p w14:paraId="28FD0841">
            <w:pPr>
              <w:rPr>
                <w:bCs/>
                <w:sz w:val="22"/>
                <w:szCs w:val="22"/>
              </w:rPr>
            </w:pPr>
            <w:bookmarkStart w:id="1" w:name="_Hlk171003198"/>
            <w:r>
              <w:rPr>
                <w:bCs/>
                <w:sz w:val="22"/>
                <w:szCs w:val="22"/>
              </w:rPr>
              <w:t>I</w:t>
            </w:r>
          </w:p>
        </w:tc>
        <w:tc>
          <w:tcPr>
            <w:tcW w:w="8221" w:type="dxa"/>
            <w:gridSpan w:val="2"/>
            <w:shd w:val="clear" w:color="auto" w:fill="FFFFFF" w:themeFill="background1"/>
          </w:tcPr>
          <w:p w14:paraId="0E326AC7">
            <w:pPr>
              <w:jc w:val="center"/>
              <w:rPr>
                <w:b/>
                <w:bCs/>
                <w:sz w:val="22"/>
                <w:szCs w:val="22"/>
              </w:rPr>
            </w:pPr>
            <w:bookmarkStart w:id="2" w:name="_Hlk106452087"/>
            <w:r>
              <w:rPr>
                <w:b/>
                <w:bCs/>
                <w:sz w:val="22"/>
                <w:szCs w:val="22"/>
              </w:rPr>
              <w:t>Qualification d’ordre général</w:t>
            </w:r>
            <w:bookmarkEnd w:id="2"/>
            <w:r>
              <w:rPr>
                <w:b/>
                <w:bCs/>
                <w:sz w:val="22"/>
                <w:szCs w:val="22"/>
              </w:rPr>
              <w:t xml:space="preserve"> (formation académique et expérience générale)</w:t>
            </w:r>
          </w:p>
        </w:tc>
        <w:tc>
          <w:tcPr>
            <w:tcW w:w="1276" w:type="dxa"/>
            <w:shd w:val="clear" w:color="auto" w:fill="FFFFFF" w:themeFill="background1"/>
          </w:tcPr>
          <w:p w14:paraId="3F36FA82">
            <w:pPr>
              <w:rPr>
                <w:b/>
                <w:bCs/>
                <w:sz w:val="22"/>
                <w:szCs w:val="22"/>
              </w:rPr>
            </w:pPr>
            <w:r>
              <w:rPr>
                <w:b/>
                <w:bCs/>
                <w:sz w:val="22"/>
                <w:szCs w:val="22"/>
              </w:rPr>
              <w:t>20 points</w:t>
            </w:r>
          </w:p>
        </w:tc>
      </w:tr>
      <w:tr w14:paraId="0015C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c>
          <w:tcPr>
            <w:tcW w:w="568" w:type="dxa"/>
            <w:shd w:val="clear" w:color="auto" w:fill="FFFFFF" w:themeFill="background1"/>
          </w:tcPr>
          <w:p w14:paraId="7F11E0E6">
            <w:pPr>
              <w:rPr>
                <w:bCs/>
                <w:sz w:val="22"/>
                <w:szCs w:val="22"/>
              </w:rPr>
            </w:pPr>
            <w:r>
              <w:rPr>
                <w:bCs/>
                <w:sz w:val="22"/>
                <w:szCs w:val="22"/>
              </w:rPr>
              <w:t>i)</w:t>
            </w:r>
          </w:p>
        </w:tc>
        <w:tc>
          <w:tcPr>
            <w:tcW w:w="6974" w:type="dxa"/>
            <w:shd w:val="clear" w:color="auto" w:fill="FFFFFF" w:themeFill="background1"/>
          </w:tcPr>
          <w:p w14:paraId="6BEDD68E">
            <w:pPr>
              <w:pStyle w:val="14"/>
              <w:numPr>
                <w:ilvl w:val="0"/>
                <w:numId w:val="3"/>
              </w:numPr>
              <w:rPr>
                <w:rFonts w:ascii="Times New Roman" w:hAnsi="Times New Roman" w:cs="Times New Roman"/>
                <w:lang w:val="fr-FR"/>
              </w:rPr>
            </w:pPr>
            <w:r>
              <w:rPr>
                <w:rFonts w:ascii="Times New Roman" w:hAnsi="Times New Roman" w:cs="Times New Roman"/>
                <w:lang w:val="fr-FR"/>
              </w:rPr>
              <w:t>Être titulaire d’un diplôme universitaire d’au moins (Bac + 5) en informatiques, MIAGE, télécommunication, management des projets, statistique, ou tous autres diplômes équivalent ;</w:t>
            </w:r>
          </w:p>
          <w:p w14:paraId="1E4D014C">
            <w:pPr>
              <w:pStyle w:val="14"/>
              <w:ind w:left="0"/>
              <w:jc w:val="both"/>
              <w:rPr>
                <w:rFonts w:ascii="Times New Roman" w:hAnsi="Times New Roman" w:cs="Times New Roman"/>
                <w:b/>
                <w:bCs/>
                <w:lang w:val="fr-FR"/>
              </w:rPr>
            </w:pPr>
            <w:r>
              <w:rPr>
                <w:rFonts w:ascii="Times New Roman" w:hAnsi="Times New Roman" w:cs="Times New Roman"/>
                <w:b/>
                <w:bCs/>
                <w:lang w:val="fr-FR"/>
              </w:rPr>
              <w:t>« Les candidats n’ayant pas le niveau de formation requis seront éliminés ».</w:t>
            </w:r>
          </w:p>
        </w:tc>
        <w:tc>
          <w:tcPr>
            <w:tcW w:w="1247" w:type="dxa"/>
            <w:shd w:val="clear" w:color="auto" w:fill="FFFFFF" w:themeFill="background1"/>
            <w:vAlign w:val="center"/>
          </w:tcPr>
          <w:p w14:paraId="0B376FE5">
            <w:pPr>
              <w:jc w:val="center"/>
              <w:rPr>
                <w:bCs/>
                <w:sz w:val="22"/>
                <w:szCs w:val="22"/>
              </w:rPr>
            </w:pPr>
            <w:r>
              <w:rPr>
                <w:bCs/>
                <w:sz w:val="22"/>
                <w:szCs w:val="22"/>
              </w:rPr>
              <w:t>10</w:t>
            </w:r>
          </w:p>
        </w:tc>
        <w:tc>
          <w:tcPr>
            <w:tcW w:w="1276" w:type="dxa"/>
            <w:shd w:val="clear" w:color="auto" w:fill="FFFFFF" w:themeFill="background1"/>
            <w:vAlign w:val="center"/>
          </w:tcPr>
          <w:p w14:paraId="68CC48E7">
            <w:pPr>
              <w:jc w:val="center"/>
              <w:rPr>
                <w:bCs/>
                <w:sz w:val="22"/>
                <w:szCs w:val="22"/>
              </w:rPr>
            </w:pPr>
            <w:r>
              <w:rPr>
                <w:bCs/>
                <w:sz w:val="22"/>
                <w:szCs w:val="22"/>
              </w:rPr>
              <w:t>-</w:t>
            </w:r>
          </w:p>
        </w:tc>
      </w:tr>
      <w:tr w14:paraId="261DC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shd w:val="clear" w:color="auto" w:fill="FFFFFF" w:themeFill="background1"/>
          </w:tcPr>
          <w:p w14:paraId="5E6424AC">
            <w:pPr>
              <w:rPr>
                <w:bCs/>
                <w:sz w:val="22"/>
                <w:szCs w:val="22"/>
              </w:rPr>
            </w:pPr>
            <w:r>
              <w:rPr>
                <w:bCs/>
                <w:sz w:val="22"/>
                <w:szCs w:val="22"/>
              </w:rPr>
              <w:t>ii)</w:t>
            </w:r>
          </w:p>
        </w:tc>
        <w:tc>
          <w:tcPr>
            <w:tcW w:w="6974" w:type="dxa"/>
            <w:shd w:val="clear" w:color="auto" w:fill="FFFFFF" w:themeFill="background1"/>
          </w:tcPr>
          <w:p w14:paraId="42DFD1FF">
            <w:pPr>
              <w:pStyle w:val="14"/>
              <w:numPr>
                <w:ilvl w:val="0"/>
                <w:numId w:val="4"/>
              </w:numPr>
              <w:spacing w:after="160"/>
              <w:rPr>
                <w:rFonts w:ascii="Times New Roman" w:hAnsi="Times New Roman" w:cs="Times New Roman"/>
                <w:lang w:val="fr-FR"/>
              </w:rPr>
            </w:pPr>
            <w:r>
              <w:rPr>
                <w:rFonts w:ascii="Times New Roman" w:hAnsi="Times New Roman" w:cs="Times New Roman"/>
                <w:lang w:val="fr-FR"/>
              </w:rPr>
              <w:t xml:space="preserve">Avoir une expérience générale d’au moins dix (10) ans dans les domaines de formation ;  </w:t>
            </w:r>
          </w:p>
          <w:p w14:paraId="1F880040">
            <w:pPr>
              <w:pStyle w:val="14"/>
              <w:numPr>
                <w:ilvl w:val="0"/>
                <w:numId w:val="4"/>
              </w:numPr>
              <w:spacing w:after="160"/>
              <w:rPr>
                <w:rFonts w:ascii="Times New Roman" w:hAnsi="Times New Roman" w:cs="Times New Roman"/>
                <w:lang w:val="fr-FR"/>
              </w:rPr>
            </w:pPr>
            <w:r>
              <w:rPr>
                <w:rFonts w:ascii="Times New Roman" w:hAnsi="Times New Roman" w:cs="Times New Roman"/>
                <w:lang w:val="fr-FR"/>
              </w:rPr>
              <w:t>Moins de dix (10) ans dans les domaines de formation</w:t>
            </w:r>
          </w:p>
        </w:tc>
        <w:tc>
          <w:tcPr>
            <w:tcW w:w="1247" w:type="dxa"/>
            <w:shd w:val="clear" w:color="auto" w:fill="FFFFFF" w:themeFill="background1"/>
            <w:vAlign w:val="center"/>
          </w:tcPr>
          <w:p w14:paraId="3F7E5E35">
            <w:pPr>
              <w:jc w:val="center"/>
              <w:rPr>
                <w:bCs/>
                <w:sz w:val="22"/>
                <w:szCs w:val="22"/>
              </w:rPr>
            </w:pPr>
            <w:r>
              <w:rPr>
                <w:bCs/>
                <w:sz w:val="22"/>
                <w:szCs w:val="22"/>
              </w:rPr>
              <w:t>10 points</w:t>
            </w:r>
          </w:p>
          <w:p w14:paraId="6DF0F19D">
            <w:pPr>
              <w:jc w:val="center"/>
              <w:rPr>
                <w:bCs/>
                <w:sz w:val="22"/>
                <w:szCs w:val="22"/>
              </w:rPr>
            </w:pPr>
          </w:p>
          <w:p w14:paraId="4F72167C">
            <w:pPr>
              <w:jc w:val="center"/>
              <w:rPr>
                <w:bCs/>
                <w:sz w:val="22"/>
                <w:szCs w:val="22"/>
              </w:rPr>
            </w:pPr>
            <w:r>
              <w:rPr>
                <w:bCs/>
                <w:sz w:val="22"/>
                <w:szCs w:val="22"/>
              </w:rPr>
              <w:t>0 point</w:t>
            </w:r>
          </w:p>
        </w:tc>
        <w:tc>
          <w:tcPr>
            <w:tcW w:w="1276" w:type="dxa"/>
            <w:shd w:val="clear" w:color="auto" w:fill="FFFFFF" w:themeFill="background1"/>
          </w:tcPr>
          <w:p w14:paraId="66D57606">
            <w:pPr>
              <w:rPr>
                <w:bCs/>
                <w:sz w:val="22"/>
                <w:szCs w:val="22"/>
              </w:rPr>
            </w:pPr>
          </w:p>
        </w:tc>
      </w:tr>
      <w:tr w14:paraId="3CF5A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568" w:type="dxa"/>
            <w:shd w:val="clear" w:color="auto" w:fill="FFFFFF" w:themeFill="background1"/>
          </w:tcPr>
          <w:p w14:paraId="5EB618C3">
            <w:pPr>
              <w:rPr>
                <w:b/>
                <w:bCs/>
                <w:sz w:val="22"/>
                <w:szCs w:val="22"/>
              </w:rPr>
            </w:pPr>
            <w:r>
              <w:rPr>
                <w:b/>
                <w:bCs/>
                <w:sz w:val="22"/>
                <w:szCs w:val="22"/>
              </w:rPr>
              <w:t>II</w:t>
            </w:r>
          </w:p>
        </w:tc>
        <w:tc>
          <w:tcPr>
            <w:tcW w:w="6974" w:type="dxa"/>
            <w:shd w:val="clear" w:color="auto" w:fill="FFFFFF" w:themeFill="background1"/>
          </w:tcPr>
          <w:p w14:paraId="0AE0ECC6">
            <w:pPr>
              <w:jc w:val="center"/>
              <w:rPr>
                <w:sz w:val="22"/>
                <w:szCs w:val="22"/>
              </w:rPr>
            </w:pPr>
            <w:r>
              <w:rPr>
                <w:b/>
                <w:bCs/>
                <w:sz w:val="22"/>
                <w:szCs w:val="22"/>
              </w:rPr>
              <w:t>Expériences Spécifiques</w:t>
            </w:r>
          </w:p>
        </w:tc>
        <w:tc>
          <w:tcPr>
            <w:tcW w:w="1247" w:type="dxa"/>
            <w:shd w:val="clear" w:color="auto" w:fill="FFFFFF" w:themeFill="background1"/>
            <w:vAlign w:val="center"/>
          </w:tcPr>
          <w:p w14:paraId="71E82C09">
            <w:pPr>
              <w:jc w:val="center"/>
              <w:rPr>
                <w:bCs/>
                <w:sz w:val="22"/>
                <w:szCs w:val="22"/>
              </w:rPr>
            </w:pPr>
          </w:p>
        </w:tc>
        <w:tc>
          <w:tcPr>
            <w:tcW w:w="1276" w:type="dxa"/>
            <w:shd w:val="clear" w:color="auto" w:fill="FFFFFF" w:themeFill="background1"/>
            <w:vAlign w:val="center"/>
          </w:tcPr>
          <w:p w14:paraId="72EE59BD">
            <w:pPr>
              <w:jc w:val="center"/>
              <w:rPr>
                <w:b/>
                <w:bCs/>
                <w:sz w:val="22"/>
                <w:szCs w:val="22"/>
              </w:rPr>
            </w:pPr>
            <w:r>
              <w:rPr>
                <w:b/>
                <w:bCs/>
                <w:sz w:val="22"/>
                <w:szCs w:val="22"/>
              </w:rPr>
              <w:t>75 points</w:t>
            </w:r>
          </w:p>
        </w:tc>
      </w:tr>
      <w:tr w14:paraId="3E746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shd w:val="clear" w:color="auto" w:fill="FFFFFF" w:themeFill="background1"/>
          </w:tcPr>
          <w:p w14:paraId="380491B9">
            <w:pPr>
              <w:rPr>
                <w:bCs/>
                <w:sz w:val="22"/>
                <w:szCs w:val="22"/>
              </w:rPr>
            </w:pPr>
            <w:r>
              <w:rPr>
                <w:bCs/>
                <w:sz w:val="22"/>
                <w:szCs w:val="22"/>
              </w:rPr>
              <w:t>i)</w:t>
            </w:r>
          </w:p>
        </w:tc>
        <w:tc>
          <w:tcPr>
            <w:tcW w:w="6974" w:type="dxa"/>
            <w:shd w:val="clear" w:color="auto" w:fill="FFFFFF" w:themeFill="background1"/>
          </w:tcPr>
          <w:p w14:paraId="22572A65">
            <w:pPr>
              <w:pStyle w:val="14"/>
              <w:numPr>
                <w:ilvl w:val="0"/>
                <w:numId w:val="5"/>
              </w:numPr>
              <w:rPr>
                <w:rFonts w:ascii="Times New Roman" w:hAnsi="Times New Roman" w:cs="Times New Roman"/>
                <w:bCs/>
                <w:lang w:val="fr-FR"/>
              </w:rPr>
            </w:pPr>
            <w:r>
              <w:rPr>
                <w:rFonts w:ascii="Times New Roman" w:hAnsi="Times New Roman" w:cs="Times New Roman"/>
                <w:bCs/>
                <w:lang w:val="fr-FR"/>
              </w:rPr>
              <w:t>Avoir au moins quatre (04) ans d’expériences professionnelles en qualité de formateur incluant les logiciels concernés dont cinq (5) points par année d’expériences justifiées ;</w:t>
            </w:r>
          </w:p>
          <w:p w14:paraId="05022369">
            <w:pPr>
              <w:pStyle w:val="14"/>
              <w:ind w:left="360"/>
              <w:jc w:val="both"/>
              <w:rPr>
                <w:rFonts w:ascii="Times New Roman" w:hAnsi="Times New Roman" w:cs="Times New Roman"/>
                <w:bCs/>
                <w:lang w:val="fr-FR"/>
              </w:rPr>
            </w:pPr>
          </w:p>
          <w:p w14:paraId="3E1527E5">
            <w:pPr>
              <w:pStyle w:val="14"/>
              <w:numPr>
                <w:ilvl w:val="0"/>
                <w:numId w:val="5"/>
              </w:numPr>
              <w:jc w:val="both"/>
              <w:rPr>
                <w:rFonts w:ascii="Times New Roman" w:hAnsi="Times New Roman" w:cs="Times New Roman"/>
                <w:bCs/>
                <w:lang w:val="fr-FR"/>
              </w:rPr>
            </w:pPr>
            <w:r>
              <w:rPr>
                <w:rFonts w:ascii="Times New Roman" w:hAnsi="Times New Roman" w:cs="Times New Roman"/>
                <w:bCs/>
                <w:lang w:val="fr-FR"/>
              </w:rPr>
              <w:t>Deux (2) points par années supplémentaires jusqu’à concurrence de dix (10 points)</w:t>
            </w:r>
          </w:p>
          <w:p w14:paraId="4CA8513C">
            <w:pPr>
              <w:pStyle w:val="14"/>
              <w:numPr>
                <w:ilvl w:val="0"/>
                <w:numId w:val="5"/>
              </w:numPr>
              <w:spacing w:after="160"/>
              <w:rPr>
                <w:rFonts w:ascii="Times New Roman" w:hAnsi="Times New Roman" w:cs="Times New Roman"/>
                <w:lang w:val="fr-FR"/>
              </w:rPr>
            </w:pPr>
            <w:r>
              <w:rPr>
                <w:rFonts w:ascii="Times New Roman" w:hAnsi="Times New Roman" w:cs="Times New Roman"/>
                <w:lang w:val="fr-FR"/>
              </w:rPr>
              <w:t>Moins de quatre (4) ans d’expériences professionnelles justifiées</w:t>
            </w:r>
          </w:p>
        </w:tc>
        <w:tc>
          <w:tcPr>
            <w:tcW w:w="1247" w:type="dxa"/>
            <w:shd w:val="clear" w:color="auto" w:fill="FFFFFF" w:themeFill="background1"/>
            <w:vAlign w:val="center"/>
          </w:tcPr>
          <w:p w14:paraId="70414ADA">
            <w:pPr>
              <w:jc w:val="center"/>
              <w:rPr>
                <w:bCs/>
                <w:sz w:val="22"/>
                <w:szCs w:val="22"/>
              </w:rPr>
            </w:pPr>
            <w:r>
              <w:rPr>
                <w:bCs/>
                <w:sz w:val="22"/>
                <w:szCs w:val="22"/>
              </w:rPr>
              <w:t>20 points</w:t>
            </w:r>
          </w:p>
          <w:p w14:paraId="13E18828">
            <w:pPr>
              <w:jc w:val="center"/>
              <w:rPr>
                <w:bCs/>
                <w:sz w:val="22"/>
                <w:szCs w:val="22"/>
              </w:rPr>
            </w:pPr>
          </w:p>
          <w:p w14:paraId="4E311CDB">
            <w:pPr>
              <w:jc w:val="center"/>
              <w:rPr>
                <w:bCs/>
                <w:sz w:val="22"/>
                <w:szCs w:val="22"/>
              </w:rPr>
            </w:pPr>
          </w:p>
          <w:p w14:paraId="4D2CCB7C">
            <w:pPr>
              <w:jc w:val="center"/>
              <w:rPr>
                <w:bCs/>
                <w:sz w:val="22"/>
                <w:szCs w:val="22"/>
              </w:rPr>
            </w:pPr>
            <w:r>
              <w:rPr>
                <w:bCs/>
                <w:sz w:val="22"/>
                <w:szCs w:val="22"/>
              </w:rPr>
              <w:t>10 points</w:t>
            </w:r>
          </w:p>
          <w:p w14:paraId="4A872A4A">
            <w:pPr>
              <w:jc w:val="center"/>
              <w:rPr>
                <w:bCs/>
                <w:sz w:val="22"/>
                <w:szCs w:val="22"/>
              </w:rPr>
            </w:pPr>
          </w:p>
          <w:p w14:paraId="3E6E3558">
            <w:pPr>
              <w:jc w:val="center"/>
              <w:rPr>
                <w:bCs/>
                <w:sz w:val="22"/>
                <w:szCs w:val="22"/>
              </w:rPr>
            </w:pPr>
            <w:r>
              <w:rPr>
                <w:bCs/>
                <w:sz w:val="22"/>
                <w:szCs w:val="22"/>
              </w:rPr>
              <w:t>0 point</w:t>
            </w:r>
          </w:p>
        </w:tc>
        <w:tc>
          <w:tcPr>
            <w:tcW w:w="1276" w:type="dxa"/>
            <w:shd w:val="clear" w:color="auto" w:fill="FFFFFF" w:themeFill="background1"/>
            <w:vAlign w:val="center"/>
          </w:tcPr>
          <w:p w14:paraId="2501505B">
            <w:pPr>
              <w:jc w:val="center"/>
              <w:rPr>
                <w:bCs/>
                <w:sz w:val="22"/>
                <w:szCs w:val="22"/>
              </w:rPr>
            </w:pPr>
          </w:p>
        </w:tc>
      </w:tr>
      <w:tr w14:paraId="7CED3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1" w:hRule="atLeast"/>
        </w:trPr>
        <w:tc>
          <w:tcPr>
            <w:tcW w:w="568" w:type="dxa"/>
            <w:shd w:val="clear" w:color="auto" w:fill="FFFFFF" w:themeFill="background1"/>
          </w:tcPr>
          <w:p w14:paraId="13DEB850">
            <w:pPr>
              <w:rPr>
                <w:bCs/>
                <w:sz w:val="22"/>
                <w:szCs w:val="22"/>
              </w:rPr>
            </w:pPr>
            <w:r>
              <w:rPr>
                <w:bCs/>
                <w:sz w:val="22"/>
                <w:szCs w:val="22"/>
              </w:rPr>
              <w:t>ii)</w:t>
            </w:r>
          </w:p>
        </w:tc>
        <w:tc>
          <w:tcPr>
            <w:tcW w:w="6974" w:type="dxa"/>
            <w:shd w:val="clear" w:color="auto" w:fill="FFFFFF" w:themeFill="background1"/>
          </w:tcPr>
          <w:p w14:paraId="625198A5">
            <w:pPr>
              <w:pStyle w:val="14"/>
              <w:numPr>
                <w:ilvl w:val="0"/>
                <w:numId w:val="5"/>
              </w:numPr>
              <w:jc w:val="both"/>
              <w:rPr>
                <w:rFonts w:ascii="Times New Roman" w:hAnsi="Times New Roman" w:cs="Times New Roman"/>
                <w:bCs/>
                <w:lang w:val="fr-FR"/>
              </w:rPr>
            </w:pPr>
            <w:r>
              <w:rPr>
                <w:rFonts w:ascii="Times New Roman" w:hAnsi="Times New Roman" w:cs="Times New Roman"/>
                <w:bCs/>
                <w:lang w:val="fr-FR"/>
              </w:rPr>
              <w:t>Avoir réaliser trois (03) missions de renforcement des capacités incluant les logiciels concernés, prouvés par les attestations de services faits dont dix (10) points par mission similaire justifiée</w:t>
            </w:r>
          </w:p>
          <w:p w14:paraId="6F59EBFF">
            <w:pPr>
              <w:pStyle w:val="14"/>
              <w:numPr>
                <w:ilvl w:val="0"/>
                <w:numId w:val="5"/>
              </w:numPr>
              <w:spacing w:after="160"/>
              <w:rPr>
                <w:rFonts w:ascii="Times New Roman" w:hAnsi="Times New Roman" w:cs="Times New Roman"/>
                <w:lang w:val="fr-FR"/>
              </w:rPr>
            </w:pPr>
            <w:r>
              <w:rPr>
                <w:rFonts w:ascii="Times New Roman" w:hAnsi="Times New Roman" w:cs="Times New Roman"/>
                <w:lang w:val="fr-FR"/>
              </w:rPr>
              <w:t xml:space="preserve">Aucune mission justifiée </w:t>
            </w:r>
          </w:p>
        </w:tc>
        <w:tc>
          <w:tcPr>
            <w:tcW w:w="1247" w:type="dxa"/>
            <w:shd w:val="clear" w:color="auto" w:fill="FFFFFF" w:themeFill="background1"/>
            <w:vAlign w:val="center"/>
          </w:tcPr>
          <w:p w14:paraId="67BF91B7">
            <w:pPr>
              <w:jc w:val="center"/>
              <w:rPr>
                <w:bCs/>
                <w:sz w:val="22"/>
                <w:szCs w:val="22"/>
              </w:rPr>
            </w:pPr>
            <w:r>
              <w:rPr>
                <w:bCs/>
                <w:sz w:val="22"/>
                <w:szCs w:val="22"/>
              </w:rPr>
              <w:t>30 points</w:t>
            </w:r>
          </w:p>
          <w:p w14:paraId="3B4611E4">
            <w:pPr>
              <w:jc w:val="center"/>
              <w:rPr>
                <w:bCs/>
                <w:sz w:val="22"/>
                <w:szCs w:val="22"/>
              </w:rPr>
            </w:pPr>
          </w:p>
          <w:p w14:paraId="0A292DB3">
            <w:pPr>
              <w:jc w:val="center"/>
              <w:rPr>
                <w:bCs/>
                <w:sz w:val="22"/>
                <w:szCs w:val="22"/>
              </w:rPr>
            </w:pPr>
          </w:p>
          <w:p w14:paraId="68CAE5A5">
            <w:pPr>
              <w:jc w:val="center"/>
              <w:rPr>
                <w:bCs/>
                <w:sz w:val="22"/>
                <w:szCs w:val="22"/>
              </w:rPr>
            </w:pPr>
            <w:r>
              <w:rPr>
                <w:bCs/>
                <w:sz w:val="22"/>
                <w:szCs w:val="22"/>
              </w:rPr>
              <w:t>0 point</w:t>
            </w:r>
          </w:p>
        </w:tc>
        <w:tc>
          <w:tcPr>
            <w:tcW w:w="1276" w:type="dxa"/>
            <w:shd w:val="clear" w:color="auto" w:fill="FFFFFF" w:themeFill="background1"/>
            <w:vAlign w:val="center"/>
          </w:tcPr>
          <w:p w14:paraId="4AD8DEEE">
            <w:pPr>
              <w:jc w:val="center"/>
              <w:rPr>
                <w:bCs/>
                <w:sz w:val="22"/>
                <w:szCs w:val="22"/>
              </w:rPr>
            </w:pPr>
          </w:p>
        </w:tc>
      </w:tr>
      <w:tr w14:paraId="5A346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shd w:val="clear" w:color="auto" w:fill="FFFFFF" w:themeFill="background1"/>
          </w:tcPr>
          <w:p w14:paraId="328511BF">
            <w:pPr>
              <w:rPr>
                <w:bCs/>
                <w:sz w:val="22"/>
                <w:szCs w:val="22"/>
              </w:rPr>
            </w:pPr>
            <w:r>
              <w:rPr>
                <w:bCs/>
                <w:sz w:val="22"/>
                <w:szCs w:val="22"/>
              </w:rPr>
              <w:t>iii)</w:t>
            </w:r>
          </w:p>
        </w:tc>
        <w:tc>
          <w:tcPr>
            <w:tcW w:w="6974" w:type="dxa"/>
            <w:shd w:val="clear" w:color="auto" w:fill="FFFFFF" w:themeFill="background1"/>
          </w:tcPr>
          <w:p w14:paraId="3606AA6C">
            <w:pPr>
              <w:pStyle w:val="14"/>
              <w:numPr>
                <w:ilvl w:val="0"/>
                <w:numId w:val="5"/>
              </w:numPr>
              <w:jc w:val="both"/>
              <w:rPr>
                <w:rFonts w:ascii="Times New Roman" w:hAnsi="Times New Roman" w:cs="Times New Roman"/>
                <w:bCs/>
                <w:lang w:val="fr-FR"/>
              </w:rPr>
            </w:pPr>
            <w:r>
              <w:rPr>
                <w:rFonts w:ascii="Times New Roman" w:hAnsi="Times New Roman" w:cs="Times New Roman"/>
                <w:bCs/>
                <w:lang w:val="fr-FR"/>
              </w:rPr>
              <w:t>Plus trois (3) expériences spécifiques professionnelles justifiées dont 5 points par mission jusqu’à concurrence de 15 points</w:t>
            </w:r>
          </w:p>
          <w:p w14:paraId="38C4C980">
            <w:pPr>
              <w:pStyle w:val="14"/>
              <w:numPr>
                <w:ilvl w:val="0"/>
                <w:numId w:val="5"/>
              </w:numPr>
              <w:jc w:val="both"/>
              <w:rPr>
                <w:rFonts w:ascii="Times New Roman" w:hAnsi="Times New Roman" w:cs="Times New Roman"/>
                <w:bCs/>
                <w:lang w:val="fr-FR"/>
              </w:rPr>
            </w:pPr>
            <w:r>
              <w:rPr>
                <w:rFonts w:ascii="Times New Roman" w:hAnsi="Times New Roman" w:cs="Times New Roman"/>
                <w:bCs/>
                <w:lang w:val="fr-FR"/>
              </w:rPr>
              <w:t>Moins de trois (3) expériences spécifiques professionnelles justifiées</w:t>
            </w:r>
          </w:p>
        </w:tc>
        <w:tc>
          <w:tcPr>
            <w:tcW w:w="1247" w:type="dxa"/>
            <w:shd w:val="clear" w:color="auto" w:fill="FFFFFF" w:themeFill="background1"/>
            <w:vAlign w:val="center"/>
          </w:tcPr>
          <w:p w14:paraId="70730C4A">
            <w:pPr>
              <w:jc w:val="center"/>
              <w:rPr>
                <w:bCs/>
                <w:sz w:val="22"/>
                <w:szCs w:val="22"/>
              </w:rPr>
            </w:pPr>
            <w:r>
              <w:rPr>
                <w:bCs/>
                <w:sz w:val="22"/>
                <w:szCs w:val="22"/>
              </w:rPr>
              <w:t>15 points</w:t>
            </w:r>
          </w:p>
          <w:p w14:paraId="08AB5617">
            <w:pPr>
              <w:jc w:val="center"/>
              <w:rPr>
                <w:bCs/>
                <w:sz w:val="22"/>
                <w:szCs w:val="22"/>
              </w:rPr>
            </w:pPr>
          </w:p>
          <w:p w14:paraId="301276B7">
            <w:pPr>
              <w:jc w:val="center"/>
              <w:rPr>
                <w:bCs/>
                <w:sz w:val="22"/>
                <w:szCs w:val="22"/>
              </w:rPr>
            </w:pPr>
            <w:r>
              <w:rPr>
                <w:bCs/>
                <w:sz w:val="22"/>
                <w:szCs w:val="22"/>
              </w:rPr>
              <w:t>0 point</w:t>
            </w:r>
          </w:p>
        </w:tc>
        <w:tc>
          <w:tcPr>
            <w:tcW w:w="1276" w:type="dxa"/>
            <w:shd w:val="clear" w:color="auto" w:fill="FFFFFF" w:themeFill="background1"/>
            <w:vAlign w:val="center"/>
          </w:tcPr>
          <w:p w14:paraId="4F611376">
            <w:pPr>
              <w:jc w:val="center"/>
              <w:rPr>
                <w:bCs/>
                <w:sz w:val="22"/>
                <w:szCs w:val="22"/>
              </w:rPr>
            </w:pPr>
          </w:p>
        </w:tc>
      </w:tr>
      <w:tr w14:paraId="632F5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568" w:type="dxa"/>
            <w:shd w:val="clear" w:color="auto" w:fill="FFFFFF" w:themeFill="background1"/>
          </w:tcPr>
          <w:p w14:paraId="283589DC">
            <w:pPr>
              <w:rPr>
                <w:b/>
                <w:bCs/>
                <w:sz w:val="22"/>
                <w:szCs w:val="22"/>
              </w:rPr>
            </w:pPr>
            <w:r>
              <w:rPr>
                <w:b/>
                <w:bCs/>
                <w:sz w:val="22"/>
                <w:szCs w:val="22"/>
              </w:rPr>
              <w:t>III</w:t>
            </w:r>
          </w:p>
        </w:tc>
        <w:tc>
          <w:tcPr>
            <w:tcW w:w="6974" w:type="dxa"/>
            <w:shd w:val="clear" w:color="auto" w:fill="FFFFFF" w:themeFill="background1"/>
          </w:tcPr>
          <w:p w14:paraId="28F68395">
            <w:pPr>
              <w:pStyle w:val="14"/>
              <w:rPr>
                <w:rFonts w:ascii="Times New Roman" w:hAnsi="Times New Roman" w:cs="Times New Roman"/>
                <w:lang w:val="fr-FR"/>
              </w:rPr>
            </w:pPr>
            <w:r>
              <w:rPr>
                <w:rFonts w:ascii="Times New Roman" w:hAnsi="Times New Roman" w:cs="Times New Roman"/>
                <w:b/>
                <w:bCs/>
                <w:lang w:val="fr-FR"/>
              </w:rPr>
              <w:t>Connaissance linguistique</w:t>
            </w:r>
          </w:p>
        </w:tc>
        <w:tc>
          <w:tcPr>
            <w:tcW w:w="1247" w:type="dxa"/>
            <w:shd w:val="clear" w:color="auto" w:fill="FFFFFF" w:themeFill="background1"/>
            <w:vAlign w:val="center"/>
          </w:tcPr>
          <w:p w14:paraId="1422A99F">
            <w:pPr>
              <w:jc w:val="center"/>
              <w:rPr>
                <w:bCs/>
                <w:sz w:val="22"/>
                <w:szCs w:val="22"/>
              </w:rPr>
            </w:pPr>
          </w:p>
        </w:tc>
        <w:tc>
          <w:tcPr>
            <w:tcW w:w="1276" w:type="dxa"/>
            <w:shd w:val="clear" w:color="auto" w:fill="FFFFFF" w:themeFill="background1"/>
            <w:vAlign w:val="center"/>
          </w:tcPr>
          <w:p w14:paraId="10D1FEF9">
            <w:pPr>
              <w:jc w:val="center"/>
              <w:rPr>
                <w:b/>
                <w:bCs/>
                <w:sz w:val="22"/>
                <w:szCs w:val="22"/>
              </w:rPr>
            </w:pPr>
            <w:r>
              <w:rPr>
                <w:b/>
                <w:bCs/>
                <w:sz w:val="22"/>
                <w:szCs w:val="22"/>
              </w:rPr>
              <w:t>5 points</w:t>
            </w:r>
          </w:p>
        </w:tc>
      </w:tr>
      <w:tr w14:paraId="6A3C3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8" w:type="dxa"/>
            <w:shd w:val="clear" w:color="auto" w:fill="FFFFFF" w:themeFill="background1"/>
          </w:tcPr>
          <w:p w14:paraId="29567A70">
            <w:pPr>
              <w:rPr>
                <w:bCs/>
                <w:sz w:val="22"/>
                <w:szCs w:val="22"/>
              </w:rPr>
            </w:pPr>
            <w:r>
              <w:rPr>
                <w:bCs/>
                <w:sz w:val="22"/>
                <w:szCs w:val="22"/>
              </w:rPr>
              <w:t>i)</w:t>
            </w:r>
          </w:p>
        </w:tc>
        <w:tc>
          <w:tcPr>
            <w:tcW w:w="6974" w:type="dxa"/>
            <w:shd w:val="clear" w:color="auto" w:fill="FFFFFF" w:themeFill="background1"/>
          </w:tcPr>
          <w:p w14:paraId="75A3D37B">
            <w:pPr>
              <w:pStyle w:val="14"/>
              <w:numPr>
                <w:ilvl w:val="0"/>
                <w:numId w:val="6"/>
              </w:numPr>
              <w:spacing w:after="160"/>
              <w:rPr>
                <w:rFonts w:ascii="Times New Roman" w:hAnsi="Times New Roman" w:cs="Times New Roman"/>
                <w:b/>
                <w:bCs/>
                <w:lang w:val="fr-FR"/>
              </w:rPr>
            </w:pPr>
            <w:r>
              <w:rPr>
                <w:rFonts w:ascii="Times New Roman" w:hAnsi="Times New Roman" w:cs="Times New Roman"/>
                <w:lang w:val="fr-FR"/>
              </w:rPr>
              <w:t>Avoir justifier la maîtrise de la langue française</w:t>
            </w:r>
          </w:p>
        </w:tc>
        <w:tc>
          <w:tcPr>
            <w:tcW w:w="1247" w:type="dxa"/>
            <w:shd w:val="clear" w:color="auto" w:fill="FFFFFF" w:themeFill="background1"/>
            <w:vAlign w:val="center"/>
          </w:tcPr>
          <w:p w14:paraId="28F509C0">
            <w:pPr>
              <w:jc w:val="center"/>
              <w:rPr>
                <w:bCs/>
                <w:sz w:val="22"/>
                <w:szCs w:val="22"/>
              </w:rPr>
            </w:pPr>
            <w:r>
              <w:rPr>
                <w:bCs/>
                <w:sz w:val="22"/>
                <w:szCs w:val="22"/>
              </w:rPr>
              <w:t>5 points</w:t>
            </w:r>
          </w:p>
        </w:tc>
        <w:tc>
          <w:tcPr>
            <w:tcW w:w="1276" w:type="dxa"/>
            <w:shd w:val="clear" w:color="auto" w:fill="FFFFFF" w:themeFill="background1"/>
            <w:vAlign w:val="center"/>
          </w:tcPr>
          <w:p w14:paraId="5B83CC29">
            <w:pPr>
              <w:jc w:val="center"/>
              <w:rPr>
                <w:bCs/>
                <w:sz w:val="22"/>
                <w:szCs w:val="22"/>
              </w:rPr>
            </w:pPr>
          </w:p>
        </w:tc>
      </w:tr>
      <w:tr w14:paraId="7D886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7542" w:type="dxa"/>
            <w:gridSpan w:val="2"/>
            <w:shd w:val="clear" w:color="auto" w:fill="FFFFFF" w:themeFill="background1"/>
          </w:tcPr>
          <w:p w14:paraId="2224AA14">
            <w:pPr>
              <w:spacing w:after="160"/>
              <w:ind w:left="1800"/>
              <w:contextualSpacing/>
              <w:rPr>
                <w:rFonts w:eastAsia="Calibri"/>
                <w:b/>
                <w:bCs/>
                <w:sz w:val="22"/>
                <w:szCs w:val="22"/>
              </w:rPr>
            </w:pPr>
            <w:r>
              <w:rPr>
                <w:rFonts w:eastAsia="Calibri"/>
                <w:b/>
                <w:bCs/>
                <w:sz w:val="22"/>
                <w:szCs w:val="22"/>
              </w:rPr>
              <w:t>Total</w:t>
            </w:r>
          </w:p>
        </w:tc>
        <w:tc>
          <w:tcPr>
            <w:tcW w:w="2523" w:type="dxa"/>
            <w:gridSpan w:val="2"/>
            <w:shd w:val="clear" w:color="auto" w:fill="FFFFFF" w:themeFill="background1"/>
            <w:vAlign w:val="bottom"/>
          </w:tcPr>
          <w:p w14:paraId="739D8872">
            <w:pPr>
              <w:pStyle w:val="14"/>
              <w:numPr>
                <w:ilvl w:val="0"/>
                <w:numId w:val="7"/>
              </w:numPr>
              <w:spacing w:after="160"/>
              <w:jc w:val="center"/>
              <w:rPr>
                <w:rFonts w:ascii="Times New Roman" w:hAnsi="Times New Roman" w:cs="Times New Roman"/>
                <w:b/>
                <w:bCs/>
                <w:lang w:val="fr-FR"/>
              </w:rPr>
            </w:pPr>
            <w:r>
              <w:rPr>
                <w:rFonts w:ascii="Times New Roman" w:hAnsi="Times New Roman" w:cs="Times New Roman"/>
                <w:b/>
                <w:bCs/>
                <w:lang w:val="fr-FR"/>
              </w:rPr>
              <w:t>Points</w:t>
            </w:r>
          </w:p>
        </w:tc>
      </w:tr>
      <w:bookmarkEnd w:id="1"/>
    </w:tbl>
    <w:p w14:paraId="5A01C083">
      <w:pPr>
        <w:spacing w:after="120"/>
        <w:jc w:val="both"/>
        <w:rPr>
          <w:sz w:val="22"/>
          <w:szCs w:val="22"/>
        </w:rPr>
      </w:pPr>
    </w:p>
    <w:p w14:paraId="30A29ECC">
      <w:pPr>
        <w:spacing w:before="120" w:after="120"/>
        <w:jc w:val="both"/>
        <w:rPr>
          <w:sz w:val="22"/>
          <w:szCs w:val="22"/>
        </w:rPr>
      </w:pPr>
      <w:r>
        <w:rPr>
          <w:sz w:val="22"/>
          <w:szCs w:val="22"/>
        </w:rPr>
        <w:t xml:space="preserve">Le score minimum requis pour être présélectionné est de 70 points/100.                </w:t>
      </w:r>
    </w:p>
    <w:p w14:paraId="5237C3E3">
      <w:pPr>
        <w:spacing w:before="120" w:after="120"/>
        <w:jc w:val="both"/>
        <w:rPr>
          <w:sz w:val="22"/>
          <w:szCs w:val="22"/>
        </w:rPr>
      </w:pPr>
      <w:r>
        <w:rPr>
          <w:sz w:val="22"/>
          <w:szCs w:val="22"/>
        </w:rPr>
        <w:t>Le/la candidat(e) ayant obtenu la note totale la plus élevée et supérieure au score minimum ci-dessus sera invité(e) à négocier un contrat. Au cas où des consultant(e)s seront classé(e)s 1er ex-aequo, le/la candidat(e) ayant le plus grand nombre cumulé d’expériences évalué pour le critère 2.3 sera sélectionné(e).</w:t>
      </w:r>
    </w:p>
    <w:p w14:paraId="07A9AC1E">
      <w:pPr>
        <w:pStyle w:val="20"/>
        <w:jc w:val="both"/>
        <w:rPr>
          <w:rFonts w:ascii="Times New Roman" w:hAnsi="Times New Roman" w:eastAsia="Times New Roman" w:cs="Times New Roman"/>
          <w:kern w:val="28"/>
          <w:sz w:val="22"/>
          <w:szCs w:val="22"/>
          <w:lang w:eastAsia="fr-FR"/>
        </w:rPr>
      </w:pPr>
      <w:r>
        <w:rPr>
          <w:rFonts w:ascii="Times New Roman" w:hAnsi="Times New Roman" w:eastAsia="Times New Roman" w:cs="Times New Roman"/>
          <w:kern w:val="28"/>
          <w:sz w:val="22"/>
          <w:szCs w:val="22"/>
          <w:lang w:eastAsia="fr-FR"/>
        </w:rPr>
        <w:t>Le dossier de candidature devra être composé de :</w:t>
      </w:r>
    </w:p>
    <w:p w14:paraId="133CBBF0">
      <w:pPr>
        <w:pStyle w:val="20"/>
        <w:numPr>
          <w:ilvl w:val="0"/>
          <w:numId w:val="8"/>
        </w:numPr>
        <w:jc w:val="both"/>
        <w:rPr>
          <w:rFonts w:ascii="Times New Roman" w:hAnsi="Times New Roman" w:eastAsia="Times New Roman" w:cs="Times New Roman"/>
          <w:kern w:val="28"/>
          <w:sz w:val="22"/>
          <w:szCs w:val="22"/>
          <w:lang w:eastAsia="fr-FR"/>
        </w:rPr>
      </w:pPr>
      <w:r>
        <w:rPr>
          <w:rFonts w:ascii="Times New Roman" w:hAnsi="Times New Roman" w:eastAsia="Times New Roman" w:cs="Times New Roman"/>
          <w:kern w:val="28"/>
          <w:sz w:val="22"/>
          <w:szCs w:val="22"/>
          <w:lang w:eastAsia="fr-FR"/>
        </w:rPr>
        <w:t>Une lettre de candidature adressée à Monsieur le Coordonnateur de l’UGP-BAD ;</w:t>
      </w:r>
    </w:p>
    <w:p w14:paraId="1C02B324">
      <w:pPr>
        <w:pStyle w:val="20"/>
        <w:numPr>
          <w:ilvl w:val="0"/>
          <w:numId w:val="8"/>
        </w:numPr>
        <w:jc w:val="both"/>
        <w:rPr>
          <w:rFonts w:ascii="Times New Roman" w:hAnsi="Times New Roman" w:eastAsia="Times New Roman" w:cs="Times New Roman"/>
          <w:kern w:val="28"/>
          <w:sz w:val="22"/>
          <w:szCs w:val="22"/>
          <w:lang w:eastAsia="fr-FR"/>
        </w:rPr>
      </w:pPr>
      <w:r>
        <w:rPr>
          <w:rFonts w:ascii="Times New Roman" w:hAnsi="Times New Roman" w:eastAsia="Times New Roman" w:cs="Times New Roman"/>
          <w:kern w:val="28"/>
          <w:sz w:val="22"/>
          <w:szCs w:val="22"/>
          <w:lang w:eastAsia="fr-FR"/>
        </w:rPr>
        <w:t>Un CV détaillé faisant état de la formation, de l’expérience professionnelle et des missions similaires. Ce CV, actualisé avec adresse électronique, doit comporter la date de début et de fin de chaque expérience professionnelle ;</w:t>
      </w:r>
    </w:p>
    <w:p w14:paraId="2E9F3476">
      <w:pPr>
        <w:pStyle w:val="20"/>
        <w:numPr>
          <w:ilvl w:val="0"/>
          <w:numId w:val="9"/>
        </w:numPr>
        <w:jc w:val="both"/>
        <w:rPr>
          <w:rFonts w:ascii="Times New Roman" w:hAnsi="Times New Roman" w:eastAsia="Times New Roman" w:cs="Times New Roman"/>
          <w:kern w:val="28"/>
          <w:sz w:val="22"/>
          <w:szCs w:val="22"/>
          <w:lang w:eastAsia="fr-FR"/>
        </w:rPr>
      </w:pPr>
      <w:r>
        <w:rPr>
          <w:rFonts w:ascii="Times New Roman" w:hAnsi="Times New Roman" w:eastAsia="Times New Roman" w:cs="Times New Roman"/>
          <w:kern w:val="28"/>
          <w:sz w:val="22"/>
          <w:szCs w:val="22"/>
          <w:lang w:eastAsia="fr-FR"/>
        </w:rPr>
        <w:t>Les copies légalisées des diplômes ;</w:t>
      </w:r>
    </w:p>
    <w:p w14:paraId="2CAC582D">
      <w:pPr>
        <w:pStyle w:val="20"/>
        <w:numPr>
          <w:ilvl w:val="0"/>
          <w:numId w:val="9"/>
        </w:numPr>
        <w:jc w:val="both"/>
        <w:rPr>
          <w:rFonts w:ascii="Times New Roman" w:hAnsi="Times New Roman" w:eastAsia="Times New Roman" w:cs="Times New Roman"/>
          <w:kern w:val="28"/>
          <w:sz w:val="22"/>
          <w:szCs w:val="22"/>
          <w:lang w:eastAsia="fr-FR"/>
        </w:rPr>
      </w:pPr>
      <w:r>
        <w:rPr>
          <w:rFonts w:ascii="Times New Roman" w:hAnsi="Times New Roman" w:eastAsia="Times New Roman" w:cs="Times New Roman"/>
          <w:kern w:val="28"/>
          <w:sz w:val="22"/>
          <w:szCs w:val="22"/>
          <w:lang w:eastAsia="fr-FR"/>
        </w:rPr>
        <w:t>Les copies des attestations des références similaires ;</w:t>
      </w:r>
    </w:p>
    <w:p w14:paraId="6ABF90DC">
      <w:pPr>
        <w:pStyle w:val="20"/>
        <w:numPr>
          <w:ilvl w:val="0"/>
          <w:numId w:val="9"/>
        </w:numPr>
        <w:jc w:val="both"/>
        <w:rPr>
          <w:rFonts w:ascii="Times New Roman" w:hAnsi="Times New Roman" w:eastAsia="Times New Roman" w:cs="Times New Roman"/>
          <w:kern w:val="28"/>
          <w:sz w:val="22"/>
          <w:szCs w:val="22"/>
          <w:lang w:eastAsia="fr-FR"/>
        </w:rPr>
      </w:pPr>
      <w:r>
        <w:rPr>
          <w:rFonts w:ascii="Times New Roman" w:hAnsi="Times New Roman" w:eastAsia="Times New Roman" w:cs="Times New Roman"/>
          <w:kern w:val="28"/>
          <w:sz w:val="22"/>
          <w:szCs w:val="22"/>
          <w:lang w:eastAsia="fr-FR"/>
        </w:rPr>
        <w:t>Les copies des attestations et certificats de formations ;</w:t>
      </w:r>
    </w:p>
    <w:p w14:paraId="522531F2">
      <w:pPr>
        <w:pStyle w:val="20"/>
        <w:numPr>
          <w:ilvl w:val="0"/>
          <w:numId w:val="9"/>
        </w:numPr>
        <w:jc w:val="both"/>
        <w:rPr>
          <w:rFonts w:ascii="Times New Roman" w:hAnsi="Times New Roman" w:eastAsia="Times New Roman" w:cs="Times New Roman"/>
          <w:kern w:val="28"/>
          <w:sz w:val="22"/>
          <w:szCs w:val="22"/>
          <w:lang w:eastAsia="fr-FR"/>
        </w:rPr>
      </w:pPr>
      <w:r>
        <w:rPr>
          <w:rFonts w:ascii="Times New Roman" w:hAnsi="Times New Roman" w:eastAsia="Times New Roman" w:cs="Times New Roman"/>
          <w:kern w:val="28"/>
          <w:sz w:val="22"/>
          <w:szCs w:val="22"/>
          <w:lang w:eastAsia="fr-FR"/>
        </w:rPr>
        <w:t>Tout autre document jugé pertinent par le candidat.</w:t>
      </w:r>
    </w:p>
    <w:p w14:paraId="7B1DE87B">
      <w:pPr>
        <w:widowControl w:val="0"/>
        <w:jc w:val="both"/>
        <w:rPr>
          <w:rFonts w:eastAsia="Calibri"/>
          <w:b/>
          <w:bCs/>
          <w:i/>
          <w:iCs/>
          <w:sz w:val="22"/>
          <w:szCs w:val="22"/>
        </w:rPr>
      </w:pPr>
      <w:r>
        <w:rPr>
          <w:rFonts w:eastAsia="Calibri"/>
          <w:bCs/>
          <w:sz w:val="22"/>
          <w:szCs w:val="22"/>
        </w:rPr>
        <w:t>Les dossiers de manifestations d’intérêt doivent être rédigés en Français</w:t>
      </w:r>
      <w:r>
        <w:rPr>
          <w:rFonts w:eastAsia="Calibri"/>
          <w:sz w:val="22"/>
          <w:szCs w:val="22"/>
        </w:rPr>
        <w:t xml:space="preserve">  et envoyés par courriel  en version PDF à l’adresse </w:t>
      </w:r>
      <w:bookmarkStart w:id="3" w:name="_Hlk171003321"/>
      <w:r>
        <w:rPr>
          <w:color w:val="auto"/>
        </w:rPr>
        <w:fldChar w:fldCharType="begin"/>
      </w:r>
      <w:r>
        <w:rPr>
          <w:sz w:val="22"/>
          <w:szCs w:val="22"/>
        </w:rPr>
        <w:instrText xml:space="preserve">HYPERLINK "mailto:amara.diabate@ugp-bad.com"</w:instrText>
      </w:r>
      <w:r>
        <w:rPr>
          <w:color w:val="auto"/>
        </w:rPr>
        <w:fldChar w:fldCharType="separate"/>
      </w:r>
      <w:r>
        <w:rPr>
          <w:rStyle w:val="5"/>
          <w:sz w:val="22"/>
          <w:szCs w:val="22"/>
        </w:rPr>
        <w:t>amara.diabate@ugp-bad.com</w:t>
      </w:r>
      <w:r>
        <w:rPr>
          <w:rStyle w:val="5"/>
          <w:sz w:val="22"/>
          <w:szCs w:val="22"/>
        </w:rPr>
        <w:fldChar w:fldCharType="end"/>
      </w:r>
      <w:r>
        <w:rPr>
          <w:b/>
          <w:bCs/>
          <w:color w:val="ED7D31" w:themeColor="accent2"/>
          <w:sz w:val="22"/>
          <w:szCs w:val="22"/>
          <w14:textFill>
            <w14:solidFill>
              <w14:schemeClr w14:val="accent2"/>
            </w14:solidFill>
          </w14:textFill>
        </w:rPr>
        <w:t xml:space="preserve"> </w:t>
      </w:r>
      <w:r>
        <w:rPr>
          <w:b/>
          <w:sz w:val="22"/>
          <w:szCs w:val="22"/>
        </w:rPr>
        <w:t xml:space="preserve">et copie à </w:t>
      </w:r>
      <w:r>
        <w:fldChar w:fldCharType="begin"/>
      </w:r>
      <w:r>
        <w:instrText xml:space="preserve"> HYPERLINK "mailto:karim.sangare@ugp-bad.com" </w:instrText>
      </w:r>
      <w:r>
        <w:fldChar w:fldCharType="separate"/>
      </w:r>
      <w:r>
        <w:rPr>
          <w:rStyle w:val="5"/>
          <w:sz w:val="22"/>
          <w:szCs w:val="22"/>
        </w:rPr>
        <w:t>karim.sangare@ugp-bad.com</w:t>
      </w:r>
      <w:r>
        <w:rPr>
          <w:rStyle w:val="5"/>
          <w:sz w:val="22"/>
          <w:szCs w:val="22"/>
        </w:rPr>
        <w:fldChar w:fldCharType="end"/>
      </w:r>
      <w:bookmarkEnd w:id="3"/>
      <w:r>
        <w:rPr>
          <w:rFonts w:eastAsia="Calibri"/>
          <w:sz w:val="22"/>
          <w:szCs w:val="22"/>
        </w:rPr>
        <w:t xml:space="preserve"> au plus tard le </w:t>
      </w:r>
      <w:r>
        <w:rPr>
          <w:rFonts w:eastAsia="Calibri"/>
          <w:b/>
          <w:sz w:val="22"/>
          <w:szCs w:val="22"/>
        </w:rPr>
        <w:t>02/09/2024 à 9Hh30 (heure locale)</w:t>
      </w:r>
      <w:r>
        <w:rPr>
          <w:rFonts w:eastAsia="Calibri"/>
          <w:sz w:val="22"/>
          <w:szCs w:val="22"/>
        </w:rPr>
        <w:t xml:space="preserve"> et y porter expressément la mention</w:t>
      </w:r>
      <w:bookmarkStart w:id="4" w:name="_Hlk171003387"/>
      <w:r>
        <w:rPr>
          <w:sz w:val="22"/>
          <w:szCs w:val="22"/>
        </w:rPr>
        <w:t xml:space="preserve"> </w:t>
      </w:r>
      <w:r>
        <w:rPr>
          <w:b/>
          <w:i/>
          <w:sz w:val="22"/>
          <w:szCs w:val="22"/>
        </w:rPr>
        <w:t>« manifestation d’intérêt relatif au recrutement d’un (01) Consultant individuel chargé de renforcement des capacités du personnel de l’Unité de Gestion des Projets de Transports (UGP-BAD) de quelques logiciels spécifiques».</w:t>
      </w:r>
      <w:bookmarkEnd w:id="4"/>
    </w:p>
    <w:p w14:paraId="220FD72A">
      <w:pPr>
        <w:pStyle w:val="20"/>
        <w:jc w:val="both"/>
        <w:rPr>
          <w:rStyle w:val="5"/>
          <w:rFonts w:ascii="Times New Roman" w:hAnsi="Times New Roman" w:cs="Times New Roman"/>
          <w:color w:val="000000"/>
          <w:sz w:val="22"/>
          <w:szCs w:val="22"/>
          <w:u w:val="none"/>
        </w:rPr>
      </w:pPr>
      <w:r>
        <w:rPr>
          <w:rFonts w:ascii="Times New Roman" w:hAnsi="Times New Roman" w:cs="Times New Roman"/>
          <w:sz w:val="22"/>
          <w:szCs w:val="22"/>
        </w:rPr>
        <w:t xml:space="preserve"> </w:t>
      </w:r>
    </w:p>
    <w:p w14:paraId="7A78F7FB">
      <w:pPr>
        <w:jc w:val="center"/>
        <w:rPr>
          <w:rFonts w:hint="default" w:ascii="Century Gothic" w:hAnsi="Century Gothic"/>
          <w:bCs/>
          <w:sz w:val="22"/>
          <w:szCs w:val="22"/>
          <w:lang w:val="fr-FR"/>
        </w:rPr>
      </w:pPr>
      <w:r>
        <w:rPr>
          <w:rFonts w:ascii="Century Gothic" w:hAnsi="Century Gothic"/>
          <w:bCs/>
          <w:sz w:val="22"/>
          <w:szCs w:val="22"/>
        </w:rPr>
        <w:t xml:space="preserve">                                                                        </w:t>
      </w:r>
      <w:r>
        <w:rPr>
          <w:bCs/>
          <w:sz w:val="22"/>
          <w:szCs w:val="22"/>
        </w:rPr>
        <w:t>Conakry le</w:t>
      </w:r>
      <w:r>
        <w:rPr>
          <w:rFonts w:hint="default"/>
          <w:bCs/>
          <w:sz w:val="22"/>
          <w:szCs w:val="22"/>
          <w:lang w:val="fr-FR"/>
        </w:rPr>
        <w:t xml:space="preserve"> 0</w:t>
      </w:r>
      <w:bookmarkStart w:id="5" w:name="_GoBack"/>
      <w:bookmarkEnd w:id="5"/>
      <w:r>
        <w:rPr>
          <w:rFonts w:hint="default"/>
          <w:bCs/>
          <w:sz w:val="22"/>
          <w:szCs w:val="22"/>
          <w:lang w:val="fr-FR"/>
        </w:rPr>
        <w:t>6 / 08 / 2024</w:t>
      </w:r>
    </w:p>
    <w:p w14:paraId="2ED47A3A">
      <w:pPr>
        <w:jc w:val="both"/>
        <w:rPr>
          <w:rFonts w:ascii="Century Gothic" w:hAnsi="Century Gothic"/>
          <w:bCs/>
          <w:sz w:val="22"/>
          <w:szCs w:val="22"/>
        </w:rPr>
      </w:pPr>
    </w:p>
    <w:p w14:paraId="1A22CBEF">
      <w:pPr>
        <w:jc w:val="both"/>
        <w:rPr>
          <w:b/>
          <w:sz w:val="22"/>
          <w:szCs w:val="22"/>
        </w:rPr>
      </w:pPr>
      <w:r>
        <w:rPr>
          <w:b/>
          <w:sz w:val="22"/>
          <w:szCs w:val="22"/>
        </w:rPr>
        <w:t xml:space="preserve">                                                                                                                  Le Coordonnateur </w:t>
      </w:r>
    </w:p>
    <w:p w14:paraId="75FC6B13">
      <w:pPr>
        <w:ind w:left="7200" w:firstLine="720"/>
        <w:jc w:val="both"/>
        <w:rPr>
          <w:b/>
          <w:sz w:val="22"/>
          <w:szCs w:val="22"/>
        </w:rPr>
      </w:pPr>
    </w:p>
    <w:p w14:paraId="10433E21">
      <w:pPr>
        <w:ind w:left="7200" w:firstLine="720"/>
        <w:jc w:val="both"/>
        <w:rPr>
          <w:b/>
          <w:sz w:val="22"/>
          <w:szCs w:val="22"/>
        </w:rPr>
      </w:pPr>
    </w:p>
    <w:p w14:paraId="1A209AD8">
      <w:pPr>
        <w:ind w:left="7200" w:firstLine="720"/>
        <w:jc w:val="both"/>
        <w:rPr>
          <w:b/>
          <w:sz w:val="22"/>
          <w:szCs w:val="22"/>
        </w:rPr>
      </w:pPr>
    </w:p>
    <w:p w14:paraId="3E6E8CF2">
      <w:pPr>
        <w:jc w:val="both"/>
        <w:rPr>
          <w:b/>
          <w:sz w:val="22"/>
          <w:szCs w:val="22"/>
        </w:rPr>
      </w:pPr>
    </w:p>
    <w:p w14:paraId="35618D5D">
      <w:pPr>
        <w:jc w:val="center"/>
        <w:rPr>
          <w:b/>
          <w:sz w:val="22"/>
          <w:szCs w:val="22"/>
          <w:u w:val="single"/>
        </w:rPr>
      </w:pPr>
      <w:r>
        <w:rPr>
          <w:b/>
          <w:sz w:val="22"/>
          <w:szCs w:val="22"/>
        </w:rPr>
        <w:t xml:space="preserve">                                                                                </w:t>
      </w:r>
      <w:r>
        <w:rPr>
          <w:b/>
          <w:sz w:val="22"/>
          <w:szCs w:val="22"/>
          <w:u w:val="single"/>
        </w:rPr>
        <w:t>Amara DIABATE</w:t>
      </w:r>
    </w:p>
    <w:sectPr>
      <w:footerReference r:id="rId5" w:type="default"/>
      <w:pgSz w:w="12240" w:h="15840"/>
      <w:pgMar w:top="1440" w:right="616" w:bottom="284"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Times-Roman">
    <w:altName w:val="Times New Roman"/>
    <w:panose1 w:val="00000000000000000000"/>
    <w:charset w:val="00"/>
    <w:family w:val="roman"/>
    <w:pitch w:val="default"/>
    <w:sig w:usb0="00000000" w:usb1="00000000" w:usb2="00000000" w:usb3="00000000" w:csb0="00040001" w:csb1="00000000"/>
  </w:font>
  <w:font w:name="Century Gothic">
    <w:panose1 w:val="020B0502020202020204"/>
    <w:charset w:val="00"/>
    <w:family w:val="swiss"/>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3783736"/>
      <w:docPartObj>
        <w:docPartGallery w:val="AutoText"/>
      </w:docPartObj>
    </w:sdtPr>
    <w:sdtContent>
      <w:p w14:paraId="7FC9A744">
        <w:pPr>
          <w:pStyle w:val="11"/>
          <w:jc w:val="right"/>
        </w:pPr>
        <w:r>
          <w:fldChar w:fldCharType="begin"/>
        </w:r>
        <w:r>
          <w:instrText xml:space="preserve">PAGE   \* MERGEFORMAT</w:instrText>
        </w:r>
        <w:r>
          <w:fldChar w:fldCharType="separate"/>
        </w:r>
        <w:r>
          <w:t>3</w:t>
        </w:r>
        <w:r>
          <w:fldChar w:fldCharType="end"/>
        </w:r>
      </w:p>
    </w:sdtContent>
  </w:sdt>
  <w:p w14:paraId="14313C8B">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519F2"/>
    <w:multiLevelType w:val="multilevel"/>
    <w:tmpl w:val="138519F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5351679"/>
    <w:multiLevelType w:val="multilevel"/>
    <w:tmpl w:val="2535167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3ECE2248"/>
    <w:multiLevelType w:val="multilevel"/>
    <w:tmpl w:val="3ECE2248"/>
    <w:lvl w:ilvl="0" w:tentative="0">
      <w:start w:val="100"/>
      <w:numFmt w:val="decimal"/>
      <w:lvlText w:val="%1"/>
      <w:lvlJc w:val="left"/>
      <w:pPr>
        <w:ind w:left="1210" w:hanging="360"/>
      </w:pPr>
      <w:rPr>
        <w:rFonts w:hint="default"/>
      </w:rPr>
    </w:lvl>
    <w:lvl w:ilvl="1" w:tentative="0">
      <w:start w:val="1"/>
      <w:numFmt w:val="lowerLetter"/>
      <w:lvlText w:val="%2."/>
      <w:lvlJc w:val="left"/>
      <w:pPr>
        <w:ind w:left="1930" w:hanging="360"/>
      </w:pPr>
    </w:lvl>
    <w:lvl w:ilvl="2" w:tentative="0">
      <w:start w:val="1"/>
      <w:numFmt w:val="lowerRoman"/>
      <w:lvlText w:val="%3."/>
      <w:lvlJc w:val="right"/>
      <w:pPr>
        <w:ind w:left="2650" w:hanging="180"/>
      </w:pPr>
    </w:lvl>
    <w:lvl w:ilvl="3" w:tentative="0">
      <w:start w:val="1"/>
      <w:numFmt w:val="decimal"/>
      <w:lvlText w:val="%4."/>
      <w:lvlJc w:val="left"/>
      <w:pPr>
        <w:ind w:left="3370" w:hanging="360"/>
      </w:pPr>
    </w:lvl>
    <w:lvl w:ilvl="4" w:tentative="0">
      <w:start w:val="1"/>
      <w:numFmt w:val="lowerLetter"/>
      <w:lvlText w:val="%5."/>
      <w:lvlJc w:val="left"/>
      <w:pPr>
        <w:ind w:left="4090" w:hanging="360"/>
      </w:pPr>
    </w:lvl>
    <w:lvl w:ilvl="5" w:tentative="0">
      <w:start w:val="1"/>
      <w:numFmt w:val="lowerRoman"/>
      <w:lvlText w:val="%6."/>
      <w:lvlJc w:val="right"/>
      <w:pPr>
        <w:ind w:left="4810" w:hanging="180"/>
      </w:pPr>
    </w:lvl>
    <w:lvl w:ilvl="6" w:tentative="0">
      <w:start w:val="1"/>
      <w:numFmt w:val="decimal"/>
      <w:lvlText w:val="%7."/>
      <w:lvlJc w:val="left"/>
      <w:pPr>
        <w:ind w:left="5530" w:hanging="360"/>
      </w:pPr>
    </w:lvl>
    <w:lvl w:ilvl="7" w:tentative="0">
      <w:start w:val="1"/>
      <w:numFmt w:val="lowerLetter"/>
      <w:lvlText w:val="%8."/>
      <w:lvlJc w:val="left"/>
      <w:pPr>
        <w:ind w:left="6250" w:hanging="360"/>
      </w:pPr>
    </w:lvl>
    <w:lvl w:ilvl="8" w:tentative="0">
      <w:start w:val="1"/>
      <w:numFmt w:val="lowerRoman"/>
      <w:lvlText w:val="%9."/>
      <w:lvlJc w:val="right"/>
      <w:pPr>
        <w:ind w:left="6970" w:hanging="180"/>
      </w:pPr>
    </w:lvl>
  </w:abstractNum>
  <w:abstractNum w:abstractNumId="3">
    <w:nsid w:val="62150717"/>
    <w:multiLevelType w:val="multilevel"/>
    <w:tmpl w:val="6215071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66A63263"/>
    <w:multiLevelType w:val="multilevel"/>
    <w:tmpl w:val="66A632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CD60C67"/>
    <w:multiLevelType w:val="multilevel"/>
    <w:tmpl w:val="6CD60C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ED9504D"/>
    <w:multiLevelType w:val="multilevel"/>
    <w:tmpl w:val="6ED9504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77955FC3"/>
    <w:multiLevelType w:val="multilevel"/>
    <w:tmpl w:val="77955FC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780E0590"/>
    <w:multiLevelType w:val="multilevel"/>
    <w:tmpl w:val="780E059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7"/>
  </w:num>
  <w:num w:numId="3">
    <w:abstractNumId w:val="8"/>
  </w:num>
  <w:num w:numId="4">
    <w:abstractNumId w:val="1"/>
  </w:num>
  <w:num w:numId="5">
    <w:abstractNumId w:val="6"/>
  </w:num>
  <w:num w:numId="6">
    <w:abstractNumId w:val="0"/>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63"/>
    <w:rsid w:val="0003168E"/>
    <w:rsid w:val="00043A5F"/>
    <w:rsid w:val="00044CFE"/>
    <w:rsid w:val="000646EE"/>
    <w:rsid w:val="0008005D"/>
    <w:rsid w:val="000A0EB7"/>
    <w:rsid w:val="000A2BE2"/>
    <w:rsid w:val="000D40DE"/>
    <w:rsid w:val="000E14E2"/>
    <w:rsid w:val="000F0233"/>
    <w:rsid w:val="000F1C03"/>
    <w:rsid w:val="00113FC5"/>
    <w:rsid w:val="00121BDE"/>
    <w:rsid w:val="001269D2"/>
    <w:rsid w:val="00142AC2"/>
    <w:rsid w:val="001536E3"/>
    <w:rsid w:val="00157CBD"/>
    <w:rsid w:val="0018138A"/>
    <w:rsid w:val="001952D6"/>
    <w:rsid w:val="001C47B1"/>
    <w:rsid w:val="001D14A9"/>
    <w:rsid w:val="001E24B5"/>
    <w:rsid w:val="001F59A8"/>
    <w:rsid w:val="002225BD"/>
    <w:rsid w:val="002237FB"/>
    <w:rsid w:val="00230A7F"/>
    <w:rsid w:val="00241AC9"/>
    <w:rsid w:val="0025557F"/>
    <w:rsid w:val="002710E0"/>
    <w:rsid w:val="0029383B"/>
    <w:rsid w:val="002B7EB1"/>
    <w:rsid w:val="002D404C"/>
    <w:rsid w:val="002F212D"/>
    <w:rsid w:val="0030652E"/>
    <w:rsid w:val="00311F42"/>
    <w:rsid w:val="003148D3"/>
    <w:rsid w:val="00314F4D"/>
    <w:rsid w:val="003263F5"/>
    <w:rsid w:val="00342163"/>
    <w:rsid w:val="00371882"/>
    <w:rsid w:val="00381958"/>
    <w:rsid w:val="00382057"/>
    <w:rsid w:val="003A1764"/>
    <w:rsid w:val="003B67EE"/>
    <w:rsid w:val="003C6BCE"/>
    <w:rsid w:val="004034E0"/>
    <w:rsid w:val="004044C2"/>
    <w:rsid w:val="0043233D"/>
    <w:rsid w:val="0044652D"/>
    <w:rsid w:val="00446F42"/>
    <w:rsid w:val="004548F0"/>
    <w:rsid w:val="00455A90"/>
    <w:rsid w:val="00456A64"/>
    <w:rsid w:val="00465001"/>
    <w:rsid w:val="0046554C"/>
    <w:rsid w:val="00474C91"/>
    <w:rsid w:val="00480E9E"/>
    <w:rsid w:val="004815FC"/>
    <w:rsid w:val="004901F4"/>
    <w:rsid w:val="004A1BDE"/>
    <w:rsid w:val="004C403A"/>
    <w:rsid w:val="004D3C64"/>
    <w:rsid w:val="004F60A5"/>
    <w:rsid w:val="00512729"/>
    <w:rsid w:val="00516136"/>
    <w:rsid w:val="005317D0"/>
    <w:rsid w:val="005365D7"/>
    <w:rsid w:val="00561DB9"/>
    <w:rsid w:val="005664EF"/>
    <w:rsid w:val="00580B87"/>
    <w:rsid w:val="0058337F"/>
    <w:rsid w:val="005901E3"/>
    <w:rsid w:val="00597E1E"/>
    <w:rsid w:val="005A66E6"/>
    <w:rsid w:val="005B1389"/>
    <w:rsid w:val="005B6C0F"/>
    <w:rsid w:val="00624E28"/>
    <w:rsid w:val="0064737C"/>
    <w:rsid w:val="00657A1D"/>
    <w:rsid w:val="00673F60"/>
    <w:rsid w:val="00683036"/>
    <w:rsid w:val="0068311F"/>
    <w:rsid w:val="006B0888"/>
    <w:rsid w:val="006C0D04"/>
    <w:rsid w:val="00705AFE"/>
    <w:rsid w:val="00707557"/>
    <w:rsid w:val="0075443A"/>
    <w:rsid w:val="00765CD6"/>
    <w:rsid w:val="00772BDD"/>
    <w:rsid w:val="00777C5C"/>
    <w:rsid w:val="00794BDA"/>
    <w:rsid w:val="007A7020"/>
    <w:rsid w:val="007B6899"/>
    <w:rsid w:val="007D2F1C"/>
    <w:rsid w:val="007D4C8E"/>
    <w:rsid w:val="007E0252"/>
    <w:rsid w:val="007E0516"/>
    <w:rsid w:val="007E6D95"/>
    <w:rsid w:val="007F0EF2"/>
    <w:rsid w:val="008259A6"/>
    <w:rsid w:val="00832378"/>
    <w:rsid w:val="0084314E"/>
    <w:rsid w:val="00855D0D"/>
    <w:rsid w:val="00864684"/>
    <w:rsid w:val="0087120F"/>
    <w:rsid w:val="00894232"/>
    <w:rsid w:val="008B6538"/>
    <w:rsid w:val="008C3F24"/>
    <w:rsid w:val="008D0236"/>
    <w:rsid w:val="008E6AD8"/>
    <w:rsid w:val="00910558"/>
    <w:rsid w:val="00925A88"/>
    <w:rsid w:val="009516CE"/>
    <w:rsid w:val="009825B7"/>
    <w:rsid w:val="00983643"/>
    <w:rsid w:val="0099562A"/>
    <w:rsid w:val="009B0BB0"/>
    <w:rsid w:val="00A13436"/>
    <w:rsid w:val="00A23C86"/>
    <w:rsid w:val="00A26B2C"/>
    <w:rsid w:val="00A41195"/>
    <w:rsid w:val="00A66DE3"/>
    <w:rsid w:val="00A838BD"/>
    <w:rsid w:val="00AB5174"/>
    <w:rsid w:val="00AC778F"/>
    <w:rsid w:val="00B00273"/>
    <w:rsid w:val="00B009BD"/>
    <w:rsid w:val="00B23203"/>
    <w:rsid w:val="00B35FCA"/>
    <w:rsid w:val="00B62228"/>
    <w:rsid w:val="00B732E8"/>
    <w:rsid w:val="00B85C0E"/>
    <w:rsid w:val="00BA1E4A"/>
    <w:rsid w:val="00BA5FA8"/>
    <w:rsid w:val="00BD75B9"/>
    <w:rsid w:val="00BE6D8B"/>
    <w:rsid w:val="00BF7E67"/>
    <w:rsid w:val="00C1700A"/>
    <w:rsid w:val="00C33354"/>
    <w:rsid w:val="00C42F61"/>
    <w:rsid w:val="00C43CCF"/>
    <w:rsid w:val="00CA2DD0"/>
    <w:rsid w:val="00CD2A4A"/>
    <w:rsid w:val="00CD2FFD"/>
    <w:rsid w:val="00CF0802"/>
    <w:rsid w:val="00CF7034"/>
    <w:rsid w:val="00D130B5"/>
    <w:rsid w:val="00D14BA7"/>
    <w:rsid w:val="00DB1F08"/>
    <w:rsid w:val="00DD2CE4"/>
    <w:rsid w:val="00DE3D2B"/>
    <w:rsid w:val="00E07458"/>
    <w:rsid w:val="00E335EC"/>
    <w:rsid w:val="00E4678F"/>
    <w:rsid w:val="00E76D6C"/>
    <w:rsid w:val="00E8030E"/>
    <w:rsid w:val="00E85747"/>
    <w:rsid w:val="00E87167"/>
    <w:rsid w:val="00E94218"/>
    <w:rsid w:val="00EC1003"/>
    <w:rsid w:val="00ED3D1C"/>
    <w:rsid w:val="00EE088A"/>
    <w:rsid w:val="00EF0A10"/>
    <w:rsid w:val="00EF599C"/>
    <w:rsid w:val="00F256C1"/>
    <w:rsid w:val="00F376EC"/>
    <w:rsid w:val="00F610DF"/>
    <w:rsid w:val="00F65C0F"/>
    <w:rsid w:val="00F67088"/>
    <w:rsid w:val="00F85990"/>
    <w:rsid w:val="00F859B1"/>
    <w:rsid w:val="00F92A63"/>
    <w:rsid w:val="00FE3C51"/>
    <w:rsid w:val="00FE574D"/>
    <w:rsid w:val="00FE7561"/>
    <w:rsid w:val="00FF205B"/>
    <w:rsid w:val="00FF627B"/>
    <w:rsid w:val="2B137A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unhideWhenUsed="0" w:uiPriority="39" w:semiHidden="0" w:name="Table Grid"/>
    <w:lsdException w:qFormat="1" w:unhideWhenUsed="0" w:uiPriority="1"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kern w:val="28"/>
      <w:sz w:val="20"/>
      <w:szCs w:val="20"/>
      <w:lang w:val="fr-FR" w:eastAsia="fr-FR" w:bidi="ar-SA"/>
    </w:rPr>
  </w:style>
  <w:style w:type="paragraph" w:styleId="2">
    <w:name w:val="heading 1"/>
    <w:next w:val="1"/>
    <w:link w:val="17"/>
    <w:qFormat/>
    <w:uiPriority w:val="9"/>
    <w:pPr>
      <w:keepNext/>
      <w:keepLines/>
      <w:spacing w:after="3" w:line="253" w:lineRule="auto"/>
      <w:ind w:left="27" w:hanging="10"/>
      <w:outlineLvl w:val="0"/>
    </w:pPr>
    <w:rPr>
      <w:rFonts w:ascii="Tahoma" w:hAnsi="Tahoma" w:eastAsia="Tahoma" w:cs="Tahoma"/>
      <w:b/>
      <w:color w:val="2E74B5"/>
      <w:sz w:val="22"/>
      <w:szCs w:val="22"/>
      <w:lang w:val="fr-FR" w:eastAsia="en-US" w:bidi="ar-SA"/>
    </w:rPr>
  </w:style>
  <w:style w:type="paragraph" w:styleId="3">
    <w:name w:val="heading 2"/>
    <w:next w:val="1"/>
    <w:link w:val="18"/>
    <w:unhideWhenUsed/>
    <w:qFormat/>
    <w:uiPriority w:val="9"/>
    <w:pPr>
      <w:keepNext/>
      <w:keepLines/>
      <w:spacing w:after="237" w:line="265" w:lineRule="auto"/>
      <w:ind w:left="10" w:right="43" w:hanging="10"/>
      <w:outlineLvl w:val="1"/>
    </w:pPr>
    <w:rPr>
      <w:rFonts w:ascii="Tahoma" w:hAnsi="Tahoma" w:eastAsia="Tahoma" w:cs="Tahoma"/>
      <w:b/>
      <w:color w:val="000000"/>
      <w:sz w:val="22"/>
      <w:szCs w:val="22"/>
      <w:lang w:val="fr-FR" w:eastAsia="en-US" w:bidi="ar-SA"/>
    </w:rPr>
  </w:style>
  <w:style w:type="character" w:default="1" w:styleId="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character" w:styleId="5">
    <w:name w:val="Hyperlink"/>
    <w:uiPriority w:val="0"/>
    <w:rPr>
      <w:color w:val="0000FF"/>
      <w:u w:val="single"/>
    </w:rPr>
  </w:style>
  <w:style w:type="character" w:styleId="6">
    <w:name w:val="annotation reference"/>
    <w:basedOn w:val="4"/>
    <w:semiHidden/>
    <w:unhideWhenUsed/>
    <w:uiPriority w:val="99"/>
    <w:rPr>
      <w:sz w:val="16"/>
      <w:szCs w:val="16"/>
    </w:rPr>
  </w:style>
  <w:style w:type="paragraph" w:styleId="7">
    <w:name w:val="annotation subject"/>
    <w:basedOn w:val="8"/>
    <w:next w:val="8"/>
    <w:link w:val="29"/>
    <w:semiHidden/>
    <w:unhideWhenUsed/>
    <w:uiPriority w:val="99"/>
    <w:rPr>
      <w:b/>
      <w:bCs/>
    </w:rPr>
  </w:style>
  <w:style w:type="paragraph" w:styleId="8">
    <w:name w:val="annotation text"/>
    <w:basedOn w:val="1"/>
    <w:link w:val="28"/>
    <w:semiHidden/>
    <w:unhideWhenUsed/>
    <w:uiPriority w:val="99"/>
  </w:style>
  <w:style w:type="paragraph" w:styleId="9">
    <w:name w:val="Body Text"/>
    <w:basedOn w:val="1"/>
    <w:link w:val="21"/>
    <w:uiPriority w:val="0"/>
    <w:pPr>
      <w:tabs>
        <w:tab w:val="left" w:pos="284"/>
      </w:tabs>
      <w:suppressAutoHyphens/>
      <w:spacing w:after="120"/>
      <w:jc w:val="both"/>
    </w:pPr>
    <w:rPr>
      <w:color w:val="auto"/>
      <w:kern w:val="0"/>
      <w:sz w:val="24"/>
      <w:szCs w:val="24"/>
      <w:lang w:val="zh-CN" w:eastAsia="ar-SA"/>
    </w:rPr>
  </w:style>
  <w:style w:type="paragraph" w:styleId="10">
    <w:name w:val="Balloon Text"/>
    <w:basedOn w:val="1"/>
    <w:link w:val="26"/>
    <w:semiHidden/>
    <w:unhideWhenUsed/>
    <w:uiPriority w:val="99"/>
    <w:rPr>
      <w:rFonts w:ascii="Segoe UI" w:hAnsi="Segoe UI" w:cs="Segoe UI"/>
      <w:sz w:val="18"/>
      <w:szCs w:val="18"/>
    </w:rPr>
  </w:style>
  <w:style w:type="paragraph" w:styleId="11">
    <w:name w:val="footer"/>
    <w:basedOn w:val="1"/>
    <w:link w:val="24"/>
    <w:unhideWhenUsed/>
    <w:uiPriority w:val="99"/>
    <w:pPr>
      <w:tabs>
        <w:tab w:val="center" w:pos="4536"/>
        <w:tab w:val="right" w:pos="9072"/>
      </w:tabs>
    </w:pPr>
  </w:style>
  <w:style w:type="paragraph" w:styleId="12">
    <w:name w:val="header"/>
    <w:basedOn w:val="1"/>
    <w:link w:val="23"/>
    <w:unhideWhenUsed/>
    <w:uiPriority w:val="99"/>
    <w:pPr>
      <w:tabs>
        <w:tab w:val="center" w:pos="4536"/>
        <w:tab w:val="right" w:pos="9072"/>
      </w:tabs>
    </w:pPr>
  </w:style>
  <w:style w:type="paragraph" w:styleId="14">
    <w:name w:val="List Paragraph"/>
    <w:basedOn w:val="1"/>
    <w:link w:val="15"/>
    <w:qFormat/>
    <w:uiPriority w:val="1"/>
    <w:pPr>
      <w:ind w:left="720"/>
      <w:contextualSpacing/>
    </w:pPr>
    <w:rPr>
      <w:rFonts w:ascii="Calibri" w:hAnsi="Calibri" w:eastAsia="Calibri" w:cs="Calibri"/>
      <w:color w:val="auto"/>
      <w:kern w:val="0"/>
      <w:sz w:val="22"/>
      <w:szCs w:val="22"/>
      <w:lang w:val="en-US" w:eastAsia="en-US"/>
    </w:rPr>
  </w:style>
  <w:style w:type="character" w:customStyle="1" w:styleId="15">
    <w:name w:val="Paragraphe de liste Car"/>
    <w:link w:val="14"/>
    <w:qFormat/>
    <w:locked/>
    <w:uiPriority w:val="1"/>
    <w:rPr>
      <w:rFonts w:ascii="Calibri" w:hAnsi="Calibri" w:eastAsia="Calibri" w:cs="Calibri"/>
      <w:lang w:val="en-US"/>
    </w:rPr>
  </w:style>
  <w:style w:type="paragraph" w:customStyle="1" w:styleId="16">
    <w:name w:val="Outline"/>
    <w:basedOn w:val="1"/>
    <w:uiPriority w:val="0"/>
    <w:pPr>
      <w:spacing w:before="240"/>
    </w:pPr>
    <w:rPr>
      <w:color w:val="auto"/>
      <w:sz w:val="24"/>
    </w:rPr>
  </w:style>
  <w:style w:type="character" w:customStyle="1" w:styleId="17">
    <w:name w:val="Titre 1 Car"/>
    <w:basedOn w:val="4"/>
    <w:link w:val="2"/>
    <w:uiPriority w:val="9"/>
    <w:rPr>
      <w:rFonts w:ascii="Tahoma" w:hAnsi="Tahoma" w:eastAsia="Tahoma" w:cs="Tahoma"/>
      <w:b/>
      <w:color w:val="2E74B5"/>
    </w:rPr>
  </w:style>
  <w:style w:type="character" w:customStyle="1" w:styleId="18">
    <w:name w:val="Titre 2 Car"/>
    <w:basedOn w:val="4"/>
    <w:link w:val="3"/>
    <w:uiPriority w:val="9"/>
    <w:rPr>
      <w:rFonts w:ascii="Tahoma" w:hAnsi="Tahoma" w:eastAsia="Tahoma" w:cs="Tahoma"/>
      <w:b/>
      <w:color w:val="000000"/>
    </w:rPr>
  </w:style>
  <w:style w:type="paragraph" w:customStyle="1" w:styleId="19">
    <w:name w:val="Broodtekst"/>
    <w:basedOn w:val="1"/>
    <w:uiPriority w:val="0"/>
    <w:pPr>
      <w:spacing w:line="240" w:lineRule="atLeast"/>
      <w:ind w:left="1134" w:right="-51"/>
    </w:pPr>
    <w:rPr>
      <w:color w:val="auto"/>
      <w:kern w:val="0"/>
      <w:sz w:val="21"/>
      <w:lang w:val="nl-NL" w:eastAsia="en-US"/>
    </w:rPr>
  </w:style>
  <w:style w:type="paragraph" w:customStyle="1" w:styleId="20">
    <w:name w:val="Default"/>
    <w:uiPriority w:val="0"/>
    <w:pPr>
      <w:autoSpaceDE w:val="0"/>
      <w:autoSpaceDN w:val="0"/>
      <w:adjustRightInd w:val="0"/>
      <w:spacing w:after="0" w:line="240" w:lineRule="auto"/>
    </w:pPr>
    <w:rPr>
      <w:rFonts w:ascii="Courier New" w:hAnsi="Courier New" w:eastAsia="Calibri" w:cs="Courier New"/>
      <w:color w:val="000000"/>
      <w:sz w:val="24"/>
      <w:szCs w:val="24"/>
      <w:lang w:val="fr-FR" w:eastAsia="en-US" w:bidi="ar-SA"/>
    </w:rPr>
  </w:style>
  <w:style w:type="character" w:customStyle="1" w:styleId="21">
    <w:name w:val="Corps de texte Car"/>
    <w:basedOn w:val="4"/>
    <w:link w:val="9"/>
    <w:uiPriority w:val="0"/>
    <w:rPr>
      <w:rFonts w:ascii="Times New Roman" w:hAnsi="Times New Roman" w:eastAsia="Times New Roman" w:cs="Times New Roman"/>
      <w:sz w:val="24"/>
      <w:szCs w:val="24"/>
      <w:lang w:val="zh-CN" w:eastAsia="ar-SA"/>
    </w:rPr>
  </w:style>
  <w:style w:type="character" w:customStyle="1" w:styleId="22">
    <w:name w:val="Mention non résolue1"/>
    <w:basedOn w:val="4"/>
    <w:semiHidden/>
    <w:unhideWhenUsed/>
    <w:uiPriority w:val="99"/>
    <w:rPr>
      <w:color w:val="605E5C"/>
      <w:shd w:val="clear" w:color="auto" w:fill="E1DFDD"/>
    </w:rPr>
  </w:style>
  <w:style w:type="character" w:customStyle="1" w:styleId="23">
    <w:name w:val="En-tête Car"/>
    <w:basedOn w:val="4"/>
    <w:link w:val="12"/>
    <w:uiPriority w:val="99"/>
    <w:rPr>
      <w:rFonts w:ascii="Times New Roman" w:hAnsi="Times New Roman" w:eastAsia="Times New Roman" w:cs="Times New Roman"/>
      <w:color w:val="000000"/>
      <w:kern w:val="28"/>
      <w:sz w:val="20"/>
      <w:szCs w:val="20"/>
      <w:lang w:eastAsia="fr-FR"/>
    </w:rPr>
  </w:style>
  <w:style w:type="character" w:customStyle="1" w:styleId="24">
    <w:name w:val="Pied de page Car"/>
    <w:basedOn w:val="4"/>
    <w:link w:val="11"/>
    <w:uiPriority w:val="99"/>
    <w:rPr>
      <w:rFonts w:ascii="Times New Roman" w:hAnsi="Times New Roman" w:eastAsia="Times New Roman" w:cs="Times New Roman"/>
      <w:color w:val="000000"/>
      <w:kern w:val="28"/>
      <w:sz w:val="20"/>
      <w:szCs w:val="20"/>
      <w:lang w:eastAsia="fr-FR"/>
    </w:rPr>
  </w:style>
  <w:style w:type="table" w:styleId="25">
    <w:name w:val="Table Grid"/>
    <w:basedOn w:val="1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Texte de bulles Car"/>
    <w:basedOn w:val="4"/>
    <w:link w:val="10"/>
    <w:semiHidden/>
    <w:uiPriority w:val="99"/>
    <w:rPr>
      <w:rFonts w:ascii="Segoe UI" w:hAnsi="Segoe UI" w:eastAsia="Times New Roman" w:cs="Segoe UI"/>
      <w:color w:val="000000"/>
      <w:kern w:val="28"/>
      <w:sz w:val="18"/>
      <w:szCs w:val="18"/>
      <w:lang w:eastAsia="fr-FR"/>
    </w:rPr>
  </w:style>
  <w:style w:type="table" w:customStyle="1" w:styleId="27">
    <w:name w:val="Grille du tableau1"/>
    <w:basedOn w:val="1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8">
    <w:name w:val="Commentaire Car"/>
    <w:basedOn w:val="4"/>
    <w:link w:val="8"/>
    <w:semiHidden/>
    <w:uiPriority w:val="99"/>
    <w:rPr>
      <w:rFonts w:ascii="Times New Roman" w:hAnsi="Times New Roman" w:eastAsia="Times New Roman" w:cs="Times New Roman"/>
      <w:color w:val="000000"/>
      <w:kern w:val="28"/>
      <w:sz w:val="20"/>
      <w:szCs w:val="20"/>
      <w:lang w:eastAsia="fr-FR"/>
    </w:rPr>
  </w:style>
  <w:style w:type="character" w:customStyle="1" w:styleId="29">
    <w:name w:val="Objet du commentaire Car"/>
    <w:basedOn w:val="28"/>
    <w:link w:val="7"/>
    <w:semiHidden/>
    <w:uiPriority w:val="99"/>
    <w:rPr>
      <w:rFonts w:ascii="Times New Roman" w:hAnsi="Times New Roman" w:eastAsia="Times New Roman" w:cs="Times New Roman"/>
      <w:b/>
      <w:bCs/>
      <w:color w:val="000000"/>
      <w:kern w:val="28"/>
      <w:sz w:val="20"/>
      <w:szCs w:val="20"/>
      <w:lang w:eastAsia="fr-FR"/>
    </w:rPr>
  </w:style>
  <w:style w:type="paragraph" w:customStyle="1" w:styleId="30">
    <w:name w:val="Revision"/>
    <w:hidden/>
    <w:semiHidden/>
    <w:uiPriority w:val="99"/>
    <w:pPr>
      <w:spacing w:after="0" w:line="240" w:lineRule="auto"/>
    </w:pPr>
    <w:rPr>
      <w:rFonts w:ascii="Times New Roman" w:hAnsi="Times New Roman" w:eastAsia="Times New Roman" w:cs="Times New Roman"/>
      <w:color w:val="000000"/>
      <w:kern w:val="28"/>
      <w:sz w:val="20"/>
      <w:szCs w:val="20"/>
      <w:lang w:val="fr-FR" w:eastAsia="fr-FR" w:bidi="ar-SA"/>
    </w:rPr>
  </w:style>
  <w:style w:type="character" w:customStyle="1" w:styleId="31">
    <w:name w:val="fontstyle01"/>
    <w:uiPriority w:val="0"/>
    <w:rPr>
      <w:rFonts w:hint="default" w:ascii="Times-Roman" w:hAnsi="Times-Roman"/>
      <w:color w:val="000000"/>
      <w:sz w:val="26"/>
      <w:szCs w:val="26"/>
    </w:rPr>
  </w:style>
  <w:style w:type="character" w:customStyle="1" w:styleId="32">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jpe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1424</Words>
  <Characters>7834</Characters>
  <Lines>65</Lines>
  <Paragraphs>18</Paragraphs>
  <TotalTime>41</TotalTime>
  <ScaleCrop>false</ScaleCrop>
  <LinksUpToDate>false</LinksUpToDate>
  <CharactersWithSpaces>9240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2024-07-17T08:37:00Z</dcterms:created>
  <dc:creator>lenovo</dc:creator>
  <cp:lastModifiedBy>ABLAYE</cp:lastModifiedBy>
  <dcterms:modified xsi:type="dcterms:W3CDTF">2024-08-08T16:36:57Z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1036-12.2.0.17545</vt:lpwstr>
  </property>
  <property fmtid="{D5CDD505-2E9C-101B-9397-08002B2CF9AE}" pid="3" name="ICV">
    <vt:lpwstr>4BE9F357B1A84402A88479EB97BE9C9F_12</vt:lpwstr>
  </property>
</Properties>
</file>