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C33F4" w14:textId="77777777" w:rsidR="00914297" w:rsidRPr="00C76C41" w:rsidRDefault="00914297" w:rsidP="00914297">
      <w:pPr>
        <w:spacing w:after="0"/>
        <w:ind w:left="0" w:firstLine="0"/>
        <w:jc w:val="left"/>
        <w:rPr>
          <w:szCs w:val="24"/>
          <w:lang w:eastAsia="en-US"/>
        </w:rPr>
      </w:pPr>
      <w:r>
        <w:rPr>
          <w:noProof/>
        </w:rPr>
        <mc:AlternateContent>
          <mc:Choice Requires="wps">
            <w:drawing>
              <wp:anchor distT="0" distB="0" distL="114300" distR="114300" simplePos="0" relativeHeight="251659264" behindDoc="0" locked="0" layoutInCell="1" allowOverlap="1" wp14:anchorId="40434754" wp14:editId="70142805">
                <wp:simplePos x="0" y="0"/>
                <wp:positionH relativeFrom="column">
                  <wp:posOffset>-11430</wp:posOffset>
                </wp:positionH>
                <wp:positionV relativeFrom="paragraph">
                  <wp:posOffset>-201930</wp:posOffset>
                </wp:positionV>
                <wp:extent cx="6045200" cy="1219200"/>
                <wp:effectExtent l="0" t="0" r="0" b="0"/>
                <wp:wrapNone/>
                <wp:docPr id="1516209690"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200" cy="1219200"/>
                        </a:xfrm>
                        <a:prstGeom prst="rect">
                          <a:avLst/>
                        </a:prstGeom>
                        <a:solidFill>
                          <a:schemeClr val="lt1"/>
                        </a:solidFill>
                        <a:ln w="6350">
                          <a:noFill/>
                        </a:ln>
                      </wps:spPr>
                      <wps:txbx>
                        <w:txbxContent>
                          <w:p w14:paraId="400C6A9B" w14:textId="77777777" w:rsidR="00914297" w:rsidRDefault="00914297" w:rsidP="00914297">
                            <w:pPr>
                              <w:ind w:left="0"/>
                            </w:pPr>
                            <w:r>
                              <w:rPr>
                                <w:noProof/>
                              </w:rPr>
                              <w:drawing>
                                <wp:inline distT="0" distB="0" distL="0" distR="0" wp14:anchorId="6BE16030" wp14:editId="4033F4B8">
                                  <wp:extent cx="6508750" cy="1121410"/>
                                  <wp:effectExtent l="0" t="0" r="6350" b="2540"/>
                                  <wp:docPr id="6997185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18583" name=""/>
                                          <pic:cNvPicPr/>
                                        </pic:nvPicPr>
                                        <pic:blipFill>
                                          <a:blip r:embed="rId7"/>
                                          <a:stretch>
                                            <a:fillRect/>
                                          </a:stretch>
                                        </pic:blipFill>
                                        <pic:spPr>
                                          <a:xfrm>
                                            <a:off x="0" y="0"/>
                                            <a:ext cx="6508750" cy="1121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434754" id="_x0000_t202" coordsize="21600,21600" o:spt="202" path="m,l,21600r21600,l21600,xe">
                <v:stroke joinstyle="miter"/>
                <v:path gradientshapeok="t" o:connecttype="rect"/>
              </v:shapetype>
              <v:shape id="Zone de texte 26" o:spid="_x0000_s1026" type="#_x0000_t202" style="position:absolute;margin-left:-.9pt;margin-top:-15.9pt;width:47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" fillcolor="white [3201]" stroked="f" strokeweight=".5pt">
                <v:textbox>
                  <w:txbxContent>
                    <w:p w14:paraId="400C6A9B" w14:textId="77777777" w:rsidR="00914297" w:rsidRDefault="00914297" w:rsidP="00914297">
                      <w:pPr>
                        <w:ind w:left="0"/>
                      </w:pPr>
                      <w:r>
                        <w:rPr>
                          <w:noProof/>
                        </w:rPr>
                        <w:drawing>
                          <wp:inline distT="0" distB="0" distL="0" distR="0" wp14:anchorId="6BE16030" wp14:editId="4033F4B8">
                            <wp:extent cx="6508750" cy="1121410"/>
                            <wp:effectExtent l="0" t="0" r="6350" b="2540"/>
                            <wp:docPr id="6997185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18583" name=""/>
                                    <pic:cNvPicPr/>
                                  </pic:nvPicPr>
                                  <pic:blipFill>
                                    <a:blip r:embed="rId7"/>
                                    <a:stretch>
                                      <a:fillRect/>
                                    </a:stretch>
                                  </pic:blipFill>
                                  <pic:spPr>
                                    <a:xfrm>
                                      <a:off x="0" y="0"/>
                                      <a:ext cx="6508750" cy="1121410"/>
                                    </a:xfrm>
                                    <a:prstGeom prst="rect">
                                      <a:avLst/>
                                    </a:prstGeom>
                                  </pic:spPr>
                                </pic:pic>
                              </a:graphicData>
                            </a:graphic>
                          </wp:inline>
                        </w:drawing>
                      </w:r>
                    </w:p>
                  </w:txbxContent>
                </v:textbox>
              </v:shape>
            </w:pict>
          </mc:Fallback>
        </mc:AlternateContent>
      </w:r>
    </w:p>
    <w:p w14:paraId="5281DF59" w14:textId="77777777" w:rsidR="00914297" w:rsidRDefault="00914297" w:rsidP="00914297">
      <w:pPr>
        <w:pStyle w:val="Titre"/>
        <w:spacing w:after="0"/>
        <w:ind w:left="0" w:firstLine="0"/>
        <w:rPr>
          <w:rFonts w:ascii="Times New Roman Bold" w:hAnsi="Times New Roman Bold"/>
          <w:iCs/>
          <w:spacing w:val="100"/>
          <w:sz w:val="40"/>
          <w:lang w:eastAsia="en-US"/>
        </w:rPr>
      </w:pPr>
    </w:p>
    <w:p w14:paraId="5B622CA7" w14:textId="77777777" w:rsidR="00914297" w:rsidRDefault="00914297" w:rsidP="00914297">
      <w:pPr>
        <w:pStyle w:val="Titre"/>
        <w:spacing w:after="0"/>
        <w:ind w:left="0" w:firstLine="0"/>
        <w:rPr>
          <w:rFonts w:ascii="Times New Roman Bold" w:hAnsi="Times New Roman Bold"/>
          <w:iCs/>
          <w:spacing w:val="100"/>
          <w:sz w:val="40"/>
          <w:lang w:eastAsia="en-US"/>
        </w:rPr>
      </w:pPr>
    </w:p>
    <w:p w14:paraId="6057DBE8" w14:textId="77777777" w:rsidR="00914297" w:rsidRDefault="00914297" w:rsidP="00914297">
      <w:pPr>
        <w:pStyle w:val="Titre"/>
        <w:spacing w:after="0"/>
        <w:ind w:left="0" w:firstLine="0"/>
        <w:rPr>
          <w:rFonts w:ascii="Times New Roman Bold" w:hAnsi="Times New Roman Bold"/>
          <w:iCs/>
          <w:spacing w:val="100"/>
          <w:sz w:val="40"/>
          <w:lang w:eastAsia="en-US"/>
        </w:rPr>
      </w:pPr>
      <w:r>
        <w:rPr>
          <w:noProof/>
        </w:rPr>
        <mc:AlternateContent>
          <mc:Choice Requires="wps">
            <w:drawing>
              <wp:anchor distT="0" distB="0" distL="114300" distR="114300" simplePos="0" relativeHeight="251660288" behindDoc="0" locked="0" layoutInCell="1" allowOverlap="1" wp14:anchorId="50504519" wp14:editId="32779E88">
                <wp:simplePos x="0" y="0"/>
                <wp:positionH relativeFrom="column">
                  <wp:posOffset>394970</wp:posOffset>
                </wp:positionH>
                <wp:positionV relativeFrom="paragraph">
                  <wp:posOffset>137160</wp:posOffset>
                </wp:positionV>
                <wp:extent cx="5378450" cy="38100"/>
                <wp:effectExtent l="0" t="0" r="12700" b="0"/>
                <wp:wrapNone/>
                <wp:docPr id="973086664"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84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C61A58" id="Connecteur droit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10.8pt" to="454.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" strokecolor="black [3200]" strokeweight=".5pt">
                <v:stroke joinstyle="miter"/>
                <o:lock v:ext="edit" shapetype="f"/>
              </v:line>
            </w:pict>
          </mc:Fallback>
        </mc:AlternateContent>
      </w:r>
    </w:p>
    <w:p w14:paraId="259C39EF" w14:textId="77777777" w:rsidR="00914297" w:rsidRPr="00C76C41" w:rsidRDefault="00914297" w:rsidP="00914297">
      <w:pPr>
        <w:pStyle w:val="Titre"/>
        <w:spacing w:after="0"/>
        <w:ind w:left="0" w:firstLine="0"/>
        <w:jc w:val="center"/>
        <w:rPr>
          <w:rFonts w:ascii="Times New Roman Bold" w:hAnsi="Times New Roman Bold"/>
          <w:iCs/>
          <w:spacing w:val="100"/>
          <w:sz w:val="40"/>
          <w:lang w:eastAsia="en-US"/>
        </w:rPr>
      </w:pPr>
      <w:r w:rsidRPr="00C76C41">
        <w:rPr>
          <w:rFonts w:ascii="Times New Roman Bold" w:hAnsi="Times New Roman Bold"/>
          <w:iCs/>
          <w:spacing w:val="100"/>
          <w:sz w:val="40"/>
          <w:lang w:eastAsia="en-US"/>
        </w:rPr>
        <w:t>Avis Spécifique de Passation de Marchés</w:t>
      </w:r>
    </w:p>
    <w:p w14:paraId="756759D1" w14:textId="77777777" w:rsidR="00914297" w:rsidRPr="00C76C41" w:rsidRDefault="00914297" w:rsidP="00914297">
      <w:pPr>
        <w:pStyle w:val="Titre"/>
        <w:spacing w:after="0"/>
        <w:ind w:left="0" w:firstLine="0"/>
        <w:jc w:val="center"/>
        <w:rPr>
          <w:rFonts w:ascii="Times New Roman Bold" w:hAnsi="Times New Roman Bold"/>
          <w:iCs/>
          <w:spacing w:val="100"/>
          <w:sz w:val="40"/>
          <w:lang w:eastAsia="en-US"/>
        </w:rPr>
      </w:pPr>
    </w:p>
    <w:p w14:paraId="18ED9885" w14:textId="77777777" w:rsidR="00914297" w:rsidRPr="00C76C41" w:rsidRDefault="00914297" w:rsidP="00914297">
      <w:pPr>
        <w:pStyle w:val="Titre"/>
        <w:spacing w:after="0"/>
        <w:ind w:left="0" w:firstLine="0"/>
        <w:jc w:val="center"/>
        <w:rPr>
          <w:rFonts w:ascii="Times New Roman Bold" w:hAnsi="Times New Roman Bold"/>
          <w:iCs/>
          <w:spacing w:val="100"/>
          <w:szCs w:val="48"/>
          <w:lang w:eastAsia="en-US"/>
        </w:rPr>
      </w:pPr>
      <w:r w:rsidRPr="00C76C41">
        <w:rPr>
          <w:rFonts w:ascii="Times New Roman Bold" w:hAnsi="Times New Roman Bold"/>
          <w:iCs/>
          <w:spacing w:val="100"/>
          <w:szCs w:val="48"/>
          <w:lang w:eastAsia="en-US"/>
        </w:rPr>
        <w:t>APPEL D’OFFRES</w:t>
      </w:r>
    </w:p>
    <w:p w14:paraId="6E00E7E0" w14:textId="77777777" w:rsidR="00914297" w:rsidRPr="00C76C41" w:rsidRDefault="00914297" w:rsidP="00914297">
      <w:pPr>
        <w:spacing w:after="0"/>
        <w:ind w:left="0" w:firstLine="0"/>
        <w:jc w:val="center"/>
        <w:rPr>
          <w:szCs w:val="24"/>
          <w:lang w:eastAsia="en-US"/>
        </w:rPr>
      </w:pPr>
    </w:p>
    <w:p w14:paraId="33CC7A1B" w14:textId="77777777" w:rsidR="00914297" w:rsidRPr="00C76C41" w:rsidRDefault="00914297" w:rsidP="00914297">
      <w:pPr>
        <w:spacing w:after="0"/>
        <w:ind w:left="0" w:firstLine="0"/>
        <w:jc w:val="center"/>
        <w:rPr>
          <w:szCs w:val="24"/>
          <w:lang w:eastAsia="en-US"/>
        </w:rPr>
      </w:pPr>
    </w:p>
    <w:p w14:paraId="46752FDB" w14:textId="77777777" w:rsidR="00914297" w:rsidRPr="00C76C41" w:rsidRDefault="00914297" w:rsidP="00914297">
      <w:pPr>
        <w:spacing w:after="0"/>
        <w:ind w:left="0" w:firstLine="0"/>
        <w:jc w:val="center"/>
        <w:rPr>
          <w:b/>
          <w:sz w:val="60"/>
          <w:szCs w:val="60"/>
          <w:lang w:eastAsia="en-US"/>
        </w:rPr>
      </w:pPr>
      <w:r w:rsidRPr="00C76C41">
        <w:rPr>
          <w:b/>
          <w:sz w:val="60"/>
          <w:szCs w:val="60"/>
          <w:lang w:eastAsia="en-US"/>
        </w:rPr>
        <w:t>Petits Travaux</w:t>
      </w:r>
    </w:p>
    <w:p w14:paraId="18B9BA6E" w14:textId="77777777" w:rsidR="00914297" w:rsidRPr="00C76C41" w:rsidRDefault="00914297" w:rsidP="00914297">
      <w:pPr>
        <w:spacing w:after="0"/>
        <w:ind w:left="0" w:firstLine="0"/>
        <w:jc w:val="center"/>
        <w:rPr>
          <w:b/>
          <w:sz w:val="40"/>
          <w:szCs w:val="40"/>
          <w:lang w:eastAsia="en-US"/>
        </w:rPr>
      </w:pPr>
      <w:r w:rsidRPr="00C76C41">
        <w:rPr>
          <w:b/>
          <w:sz w:val="40"/>
          <w:szCs w:val="40"/>
          <w:lang w:eastAsia="en-US"/>
        </w:rPr>
        <w:t>(Procédure à Enveloppe Unique)</w:t>
      </w:r>
    </w:p>
    <w:p w14:paraId="2831C795" w14:textId="181285FA" w:rsidR="00914297" w:rsidRPr="00C76C41" w:rsidRDefault="00914297" w:rsidP="00914297">
      <w:pPr>
        <w:pStyle w:val="Titre"/>
        <w:tabs>
          <w:tab w:val="center" w:pos="8647"/>
        </w:tabs>
        <w:spacing w:after="0"/>
        <w:ind w:left="0" w:firstLine="0"/>
        <w:rPr>
          <w:b/>
          <w:i/>
          <w:sz w:val="44"/>
          <w:szCs w:val="44"/>
          <w:lang w:eastAsia="en-US"/>
        </w:rPr>
      </w:pPr>
      <w:r>
        <w:rPr>
          <w:i/>
        </w:rPr>
        <w:t xml:space="preserve">           </w:t>
      </w:r>
      <w:r w:rsidRPr="00C76C41">
        <w:rPr>
          <w:i/>
        </w:rPr>
        <w:t>_______________________________</w:t>
      </w:r>
    </w:p>
    <w:p w14:paraId="18C26CC2" w14:textId="77777777" w:rsidR="00914297" w:rsidRPr="00C76C41" w:rsidRDefault="00914297" w:rsidP="00914297">
      <w:pPr>
        <w:pStyle w:val="BankNormal"/>
        <w:suppressAutoHyphens/>
        <w:spacing w:after="60"/>
        <w:ind w:left="578" w:hanging="578"/>
        <w:rPr>
          <w:b/>
          <w:sz w:val="28"/>
          <w:szCs w:val="24"/>
          <w:lang w:val="fr-FR"/>
        </w:rPr>
      </w:pPr>
    </w:p>
    <w:p w14:paraId="75D308D8" w14:textId="77777777" w:rsidR="00914297" w:rsidRPr="00C76C41" w:rsidRDefault="00914297" w:rsidP="00914297">
      <w:pPr>
        <w:pStyle w:val="BankNormal"/>
        <w:suppressAutoHyphens/>
        <w:spacing w:after="60"/>
        <w:ind w:left="578" w:hanging="578"/>
        <w:rPr>
          <w:i/>
          <w:iCs/>
          <w:sz w:val="28"/>
          <w:szCs w:val="24"/>
          <w:lang w:val="fr-FR"/>
        </w:rPr>
      </w:pPr>
      <w:r w:rsidRPr="00C76C41">
        <w:rPr>
          <w:b/>
          <w:sz w:val="28"/>
          <w:szCs w:val="24"/>
          <w:lang w:val="fr-FR"/>
        </w:rPr>
        <w:t xml:space="preserve">Pays : </w:t>
      </w:r>
      <w:r w:rsidRPr="00833BAA">
        <w:rPr>
          <w:bCs/>
          <w:sz w:val="28"/>
          <w:szCs w:val="24"/>
          <w:lang w:val="fr-FR"/>
        </w:rPr>
        <w:t>République de Guinée</w:t>
      </w:r>
      <w:r w:rsidRPr="00C76C41" w:rsidDel="009B0587">
        <w:rPr>
          <w:i/>
          <w:iCs/>
          <w:sz w:val="28"/>
          <w:szCs w:val="24"/>
          <w:lang w:val="fr-FR"/>
        </w:rPr>
        <w:t xml:space="preserve"> </w:t>
      </w:r>
    </w:p>
    <w:p w14:paraId="3C07336A" w14:textId="77777777" w:rsidR="00914297" w:rsidRPr="00C76C41" w:rsidRDefault="00914297" w:rsidP="00914297">
      <w:pPr>
        <w:pStyle w:val="BankNormal"/>
        <w:suppressAutoHyphens/>
        <w:spacing w:after="60"/>
        <w:ind w:left="578" w:hanging="578"/>
        <w:rPr>
          <w:b/>
          <w:sz w:val="28"/>
          <w:szCs w:val="24"/>
          <w:lang w:val="fr-FR"/>
        </w:rPr>
      </w:pPr>
      <w:r w:rsidRPr="00C76C41">
        <w:rPr>
          <w:b/>
          <w:sz w:val="28"/>
          <w:szCs w:val="24"/>
          <w:lang w:val="fr-FR"/>
        </w:rPr>
        <w:t xml:space="preserve">Projet : </w:t>
      </w:r>
      <w:r w:rsidRPr="00833BAA">
        <w:rPr>
          <w:bCs/>
          <w:sz w:val="28"/>
          <w:szCs w:val="24"/>
          <w:lang w:val="fr-FR"/>
        </w:rPr>
        <w:t>Projet de développement de l’Agriculture Commerciale en Guinée</w:t>
      </w:r>
      <w:r w:rsidRPr="00833BAA">
        <w:rPr>
          <w:spacing w:val="-3"/>
          <w:lang w:val="fr-FR"/>
        </w:rPr>
        <w:t xml:space="preserve"> </w:t>
      </w:r>
    </w:p>
    <w:p w14:paraId="7B4C478A" w14:textId="77777777" w:rsidR="00914297" w:rsidRPr="00914297" w:rsidRDefault="00914297" w:rsidP="00914297">
      <w:pPr>
        <w:pStyle w:val="Titre2"/>
        <w:keepNext w:val="0"/>
        <w:keepLines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0" w:after="200" w:line="276" w:lineRule="auto"/>
        <w:ind w:left="0" w:right="140" w:firstLine="0"/>
        <w:rPr>
          <w:rFonts w:ascii="Times New Roman" w:eastAsia="Times New Roman" w:hAnsi="Times New Roman" w:cs="Times New Roman"/>
          <w:b/>
          <w:color w:val="auto"/>
          <w:sz w:val="28"/>
          <w:szCs w:val="24"/>
        </w:rPr>
      </w:pPr>
      <w:r w:rsidRPr="00914297">
        <w:rPr>
          <w:rFonts w:ascii="Times New Roman" w:eastAsia="Times New Roman" w:hAnsi="Times New Roman" w:cs="Times New Roman"/>
          <w:b/>
          <w:color w:val="auto"/>
          <w:sz w:val="28"/>
          <w:szCs w:val="24"/>
        </w:rPr>
        <w:t xml:space="preserve">Titre du Marché : Travaux de réalisation de 153.238 km Pistes rurales dans les préfectures de </w:t>
      </w:r>
      <w:proofErr w:type="spellStart"/>
      <w:r w:rsidRPr="00914297">
        <w:rPr>
          <w:rFonts w:ascii="Times New Roman" w:eastAsia="Times New Roman" w:hAnsi="Times New Roman" w:cs="Times New Roman"/>
          <w:b/>
          <w:color w:val="auto"/>
          <w:sz w:val="28"/>
          <w:szCs w:val="24"/>
        </w:rPr>
        <w:t>Dalaba</w:t>
      </w:r>
      <w:proofErr w:type="spellEnd"/>
      <w:r w:rsidRPr="00914297">
        <w:rPr>
          <w:rFonts w:ascii="Times New Roman" w:eastAsia="Times New Roman" w:hAnsi="Times New Roman" w:cs="Times New Roman"/>
          <w:b/>
          <w:color w:val="auto"/>
          <w:sz w:val="28"/>
          <w:szCs w:val="24"/>
        </w:rPr>
        <w:t xml:space="preserve"> et </w:t>
      </w:r>
      <w:proofErr w:type="spellStart"/>
      <w:r w:rsidRPr="00914297">
        <w:rPr>
          <w:rFonts w:ascii="Times New Roman" w:eastAsia="Times New Roman" w:hAnsi="Times New Roman" w:cs="Times New Roman"/>
          <w:b/>
          <w:color w:val="auto"/>
          <w:sz w:val="28"/>
          <w:szCs w:val="24"/>
        </w:rPr>
        <w:t>Mandiana</w:t>
      </w:r>
      <w:proofErr w:type="spellEnd"/>
      <w:r w:rsidRPr="00914297">
        <w:rPr>
          <w:rFonts w:ascii="Times New Roman" w:eastAsia="Times New Roman" w:hAnsi="Times New Roman" w:cs="Times New Roman"/>
          <w:b/>
          <w:color w:val="auto"/>
          <w:sz w:val="28"/>
          <w:szCs w:val="24"/>
        </w:rPr>
        <w:t>.</w:t>
      </w:r>
    </w:p>
    <w:p w14:paraId="386177C3" w14:textId="77777777" w:rsidR="00914297" w:rsidRPr="009B0587" w:rsidRDefault="00914297" w:rsidP="00914297">
      <w:pPr>
        <w:pStyle w:val="BankNormal"/>
        <w:suppressAutoHyphens/>
        <w:spacing w:after="60"/>
        <w:ind w:left="578" w:hanging="578"/>
        <w:rPr>
          <w:b/>
          <w:i/>
          <w:iCs/>
          <w:sz w:val="28"/>
          <w:szCs w:val="24"/>
          <w:lang w:val="fr-FR"/>
        </w:rPr>
      </w:pPr>
      <w:r w:rsidRPr="009B0587">
        <w:rPr>
          <w:b/>
          <w:sz w:val="28"/>
          <w:szCs w:val="24"/>
          <w:lang w:val="fr-FR"/>
        </w:rPr>
        <w:t xml:space="preserve">Financement Banque Mondiale </w:t>
      </w:r>
      <w:r w:rsidRPr="00C76C41">
        <w:rPr>
          <w:b/>
          <w:sz w:val="28"/>
          <w:szCs w:val="24"/>
          <w:lang w:val="fr-FR"/>
        </w:rPr>
        <w:t xml:space="preserve">: </w:t>
      </w:r>
      <w:r w:rsidRPr="00833BAA">
        <w:rPr>
          <w:bCs/>
          <w:sz w:val="28"/>
          <w:szCs w:val="24"/>
          <w:lang w:val="fr-FR"/>
        </w:rPr>
        <w:t>Crédit N° 6771– GN / Don N° D713 – GN</w:t>
      </w:r>
    </w:p>
    <w:p w14:paraId="0E3C4CC8" w14:textId="3D207A95" w:rsidR="00914297" w:rsidRPr="00C76C41" w:rsidRDefault="00914297" w:rsidP="00914297">
      <w:pPr>
        <w:suppressAutoHyphens/>
        <w:spacing w:after="60"/>
        <w:ind w:left="0" w:firstLine="0"/>
        <w:jc w:val="left"/>
        <w:rPr>
          <w:rFonts w:asciiTheme="majorBidi" w:hAnsiTheme="majorBidi" w:cstheme="majorBidi"/>
        </w:rPr>
      </w:pPr>
      <w:r w:rsidRPr="00C76C41">
        <w:rPr>
          <w:b/>
          <w:sz w:val="28"/>
          <w:szCs w:val="24"/>
        </w:rPr>
        <w:t>Appel d’Offres No :</w:t>
      </w:r>
      <w:r w:rsidRPr="007209D1">
        <w:rPr>
          <w:b/>
          <w:sz w:val="28"/>
          <w:szCs w:val="24"/>
        </w:rPr>
        <w:t xml:space="preserve"> </w:t>
      </w:r>
      <w:r w:rsidRPr="00DB6CAC">
        <w:rPr>
          <w:b/>
          <w:sz w:val="28"/>
          <w:szCs w:val="24"/>
        </w:rPr>
        <w:t>0</w:t>
      </w:r>
      <w:r>
        <w:rPr>
          <w:b/>
          <w:sz w:val="28"/>
          <w:szCs w:val="24"/>
        </w:rPr>
        <w:t>1</w:t>
      </w:r>
      <w:r w:rsidRPr="00DB6CAC">
        <w:rPr>
          <w:b/>
          <w:sz w:val="28"/>
          <w:szCs w:val="24"/>
        </w:rPr>
        <w:t>/AO</w:t>
      </w:r>
      <w:r>
        <w:rPr>
          <w:b/>
          <w:sz w:val="28"/>
          <w:szCs w:val="24"/>
        </w:rPr>
        <w:t>N</w:t>
      </w:r>
      <w:r w:rsidRPr="00DB6CAC">
        <w:rPr>
          <w:b/>
          <w:sz w:val="28"/>
          <w:szCs w:val="24"/>
        </w:rPr>
        <w:t>/M</w:t>
      </w:r>
      <w:r>
        <w:rPr>
          <w:b/>
          <w:sz w:val="28"/>
          <w:szCs w:val="24"/>
        </w:rPr>
        <w:t>AGEL</w:t>
      </w:r>
      <w:r w:rsidRPr="00DB6CAC">
        <w:rPr>
          <w:b/>
          <w:sz w:val="28"/>
          <w:szCs w:val="24"/>
        </w:rPr>
        <w:t>/</w:t>
      </w:r>
      <w:r>
        <w:rPr>
          <w:b/>
          <w:sz w:val="28"/>
          <w:szCs w:val="24"/>
        </w:rPr>
        <w:t>PDACG</w:t>
      </w:r>
      <w:r w:rsidRPr="00DB6CAC">
        <w:rPr>
          <w:b/>
          <w:sz w:val="28"/>
          <w:szCs w:val="24"/>
        </w:rPr>
        <w:t>/202</w:t>
      </w:r>
      <w:r>
        <w:rPr>
          <w:b/>
          <w:sz w:val="28"/>
          <w:szCs w:val="24"/>
        </w:rPr>
        <w:t>4</w:t>
      </w:r>
      <w:r w:rsidRPr="00C76C41" w:rsidDel="009B0587">
        <w:rPr>
          <w:i/>
          <w:iCs/>
          <w:sz w:val="28"/>
          <w:szCs w:val="24"/>
        </w:rPr>
        <w:t xml:space="preserve"> </w:t>
      </w:r>
    </w:p>
    <w:p w14:paraId="3A5A5F6F" w14:textId="77777777" w:rsidR="00914297" w:rsidRDefault="00914297" w:rsidP="00914297">
      <w:pPr>
        <w:pStyle w:val="Paragraphedeliste"/>
        <w:numPr>
          <w:ilvl w:val="0"/>
          <w:numId w:val="3"/>
        </w:numPr>
        <w:tabs>
          <w:tab w:val="left" w:pos="-720"/>
          <w:tab w:val="left" w:pos="0"/>
        </w:tabs>
        <w:spacing w:before="240" w:after="120"/>
        <w:rPr>
          <w:spacing w:val="-3"/>
        </w:rPr>
      </w:pPr>
      <w:r w:rsidRPr="00833BAA">
        <w:rPr>
          <w:spacing w:val="-3"/>
        </w:rPr>
        <w:t>Le Gouvernement de la République de Guinée a obtenu un prêt de la Banque mondiale pour financer le coût du Projet de développement de l’Agriculture Commerciale en Guinée et a l’intention d’utiliser</w:t>
      </w:r>
      <w:r w:rsidRPr="00833BAA">
        <w:rPr>
          <w:i/>
          <w:iCs/>
          <w:spacing w:val="-3"/>
        </w:rPr>
        <w:t xml:space="preserve"> </w:t>
      </w:r>
      <w:r w:rsidRPr="00833BAA">
        <w:rPr>
          <w:spacing w:val="-3"/>
        </w:rPr>
        <w:t xml:space="preserve">une partie des sommes accordées au titre de ce financement pour effectuer les paiements prévus au titre du marché </w:t>
      </w:r>
      <w:r w:rsidRPr="00B15195">
        <w:rPr>
          <w:spacing w:val="-3"/>
        </w:rPr>
        <w:t xml:space="preserve">de réhabilitation de pistes rurales </w:t>
      </w:r>
      <w:r w:rsidRPr="00833BAA">
        <w:rPr>
          <w:spacing w:val="-3"/>
        </w:rPr>
        <w:t xml:space="preserve">en </w:t>
      </w:r>
      <w:r>
        <w:rPr>
          <w:spacing w:val="-3"/>
        </w:rPr>
        <w:t>cinq (5) lots distincts :</w:t>
      </w:r>
    </w:p>
    <w:p w14:paraId="380C09CE" w14:textId="77777777" w:rsidR="00914297" w:rsidRPr="001B70A9" w:rsidRDefault="00914297" w:rsidP="00914297">
      <w:pPr>
        <w:pStyle w:val="Paragraphedeliste"/>
        <w:numPr>
          <w:ilvl w:val="0"/>
          <w:numId w:val="4"/>
        </w:numPr>
        <w:tabs>
          <w:tab w:val="right" w:pos="7254"/>
        </w:tabs>
        <w:suppressAutoHyphens/>
        <w:overflowPunct w:val="0"/>
        <w:autoSpaceDE w:val="0"/>
        <w:autoSpaceDN w:val="0"/>
        <w:adjustRightInd w:val="0"/>
        <w:spacing w:before="60" w:after="120"/>
        <w:textAlignment w:val="baseline"/>
      </w:pPr>
      <w:r w:rsidRPr="001B70A9">
        <w:t xml:space="preserve">Lot-1 : </w:t>
      </w:r>
      <w:r>
        <w:t xml:space="preserve">Travaux de réhabilitation de 22.622 km de pistes rurales reliant les tronçons RN 26 (CR </w:t>
      </w:r>
      <w:proofErr w:type="spellStart"/>
      <w:proofErr w:type="gramStart"/>
      <w:r>
        <w:t>Kankalabé</w:t>
      </w:r>
      <w:proofErr w:type="spellEnd"/>
      <w:r>
        <w:t>)-</w:t>
      </w:r>
      <w:proofErr w:type="spellStart"/>
      <w:proofErr w:type="gramEnd"/>
      <w:r>
        <w:t>Dombélé</w:t>
      </w:r>
      <w:proofErr w:type="spellEnd"/>
      <w:r>
        <w:t xml:space="preserve"> 11.600 km ; RN 26 (CU </w:t>
      </w:r>
      <w:proofErr w:type="spellStart"/>
      <w:r>
        <w:t>Kankalabé</w:t>
      </w:r>
      <w:proofErr w:type="spellEnd"/>
      <w:r>
        <w:t xml:space="preserve">)-District de </w:t>
      </w:r>
      <w:proofErr w:type="spellStart"/>
      <w:r>
        <w:t>Gobiré</w:t>
      </w:r>
      <w:proofErr w:type="spellEnd"/>
      <w:r>
        <w:t xml:space="preserve"> 6.582 km et RN 26 (CU </w:t>
      </w:r>
      <w:proofErr w:type="spellStart"/>
      <w:r>
        <w:t>Kankalabé</w:t>
      </w:r>
      <w:proofErr w:type="spellEnd"/>
      <w:r>
        <w:t>)-</w:t>
      </w:r>
      <w:proofErr w:type="spellStart"/>
      <w:r>
        <w:t>Dougako</w:t>
      </w:r>
      <w:proofErr w:type="spellEnd"/>
      <w:r>
        <w:t xml:space="preserve"> 4.440 km     </w:t>
      </w:r>
      <w:r w:rsidRPr="001B70A9">
        <w:t>;</w:t>
      </w:r>
    </w:p>
    <w:p w14:paraId="40E0ED91" w14:textId="77777777" w:rsidR="00914297" w:rsidRPr="001B70A9" w:rsidRDefault="00914297" w:rsidP="00914297">
      <w:pPr>
        <w:pStyle w:val="Paragraphedeliste"/>
        <w:numPr>
          <w:ilvl w:val="0"/>
          <w:numId w:val="4"/>
        </w:numPr>
        <w:tabs>
          <w:tab w:val="right" w:pos="7254"/>
        </w:tabs>
        <w:suppressAutoHyphens/>
        <w:overflowPunct w:val="0"/>
        <w:autoSpaceDE w:val="0"/>
        <w:autoSpaceDN w:val="0"/>
        <w:adjustRightInd w:val="0"/>
        <w:spacing w:before="60" w:after="120"/>
        <w:textAlignment w:val="baseline"/>
      </w:pPr>
      <w:r w:rsidRPr="001B70A9">
        <w:t xml:space="preserve">Lot-2 : </w:t>
      </w:r>
      <w:r>
        <w:t xml:space="preserve">Travaux de réhabilitation de 16.178 km de pistes rurales reliant les tronçons Carrefour Kourou </w:t>
      </w:r>
      <w:proofErr w:type="spellStart"/>
      <w:r>
        <w:t>Maninka</w:t>
      </w:r>
      <w:proofErr w:type="spellEnd"/>
      <w:r>
        <w:t xml:space="preserve"> et Carrefour </w:t>
      </w:r>
      <w:proofErr w:type="spellStart"/>
      <w:r>
        <w:t>Sankarelah</w:t>
      </w:r>
      <w:proofErr w:type="spellEnd"/>
      <w:r>
        <w:t xml:space="preserve"> dans la CR de </w:t>
      </w:r>
      <w:proofErr w:type="spellStart"/>
      <w:r>
        <w:t>Ditinn</w:t>
      </w:r>
      <w:proofErr w:type="spellEnd"/>
      <w:r>
        <w:t xml:space="preserve">, préfecture de </w:t>
      </w:r>
      <w:proofErr w:type="spellStart"/>
      <w:proofErr w:type="gramStart"/>
      <w:r>
        <w:t>Dalaba</w:t>
      </w:r>
      <w:proofErr w:type="spellEnd"/>
      <w:r w:rsidRPr="001B70A9">
        <w:t>;</w:t>
      </w:r>
      <w:proofErr w:type="gramEnd"/>
    </w:p>
    <w:p w14:paraId="1006A354" w14:textId="77777777" w:rsidR="00914297" w:rsidRPr="001B70A9" w:rsidRDefault="00914297" w:rsidP="00914297">
      <w:pPr>
        <w:pStyle w:val="Paragraphedeliste"/>
        <w:numPr>
          <w:ilvl w:val="0"/>
          <w:numId w:val="4"/>
        </w:numPr>
        <w:tabs>
          <w:tab w:val="right" w:pos="7254"/>
        </w:tabs>
        <w:suppressAutoHyphens/>
        <w:overflowPunct w:val="0"/>
        <w:autoSpaceDE w:val="0"/>
        <w:autoSpaceDN w:val="0"/>
        <w:adjustRightInd w:val="0"/>
        <w:spacing w:before="60" w:after="120"/>
        <w:textAlignment w:val="baseline"/>
      </w:pPr>
      <w:r w:rsidRPr="001B70A9">
        <w:lastRenderedPageBreak/>
        <w:t xml:space="preserve">Lot-3 : </w:t>
      </w:r>
      <w:r>
        <w:t xml:space="preserve">Travaux de réhabilitation de 26. 438 km de pistes rurales reliant les tronçons Carrefour </w:t>
      </w:r>
      <w:proofErr w:type="spellStart"/>
      <w:r>
        <w:t>Guilintiko-Kondisso</w:t>
      </w:r>
      <w:proofErr w:type="spellEnd"/>
      <w:r>
        <w:t xml:space="preserve"> 3.408 km dans la CR de </w:t>
      </w:r>
      <w:proofErr w:type="spellStart"/>
      <w:r>
        <w:t>Kèbaly</w:t>
      </w:r>
      <w:proofErr w:type="spellEnd"/>
      <w:r>
        <w:t xml:space="preserve"> et Carrefour </w:t>
      </w:r>
      <w:proofErr w:type="spellStart"/>
      <w:r>
        <w:t>Botobofel</w:t>
      </w:r>
      <w:proofErr w:type="spellEnd"/>
      <w:r>
        <w:t xml:space="preserve">-RN 5 (Carrefour </w:t>
      </w:r>
      <w:proofErr w:type="spellStart"/>
      <w:r>
        <w:t>Bomboly</w:t>
      </w:r>
      <w:proofErr w:type="spellEnd"/>
      <w:r>
        <w:t xml:space="preserve">) 23.030 km dans la CR de </w:t>
      </w:r>
      <w:proofErr w:type="spellStart"/>
      <w:r>
        <w:t>Ditinn</w:t>
      </w:r>
      <w:proofErr w:type="spellEnd"/>
      <w:r>
        <w:t xml:space="preserve">, préfecture de </w:t>
      </w:r>
      <w:proofErr w:type="spellStart"/>
      <w:r>
        <w:t>Dalaba</w:t>
      </w:r>
      <w:proofErr w:type="spellEnd"/>
      <w:r w:rsidRPr="001B70A9">
        <w:t> ;</w:t>
      </w:r>
    </w:p>
    <w:p w14:paraId="69B48436" w14:textId="77777777" w:rsidR="00914297" w:rsidRDefault="00914297" w:rsidP="00914297">
      <w:pPr>
        <w:pStyle w:val="Paragraphedeliste"/>
        <w:numPr>
          <w:ilvl w:val="0"/>
          <w:numId w:val="4"/>
        </w:numPr>
        <w:tabs>
          <w:tab w:val="right" w:pos="7254"/>
        </w:tabs>
        <w:suppressAutoHyphens/>
        <w:overflowPunct w:val="0"/>
        <w:autoSpaceDE w:val="0"/>
        <w:autoSpaceDN w:val="0"/>
        <w:adjustRightInd w:val="0"/>
        <w:spacing w:before="60" w:after="120"/>
        <w:textAlignment w:val="baseline"/>
      </w:pPr>
      <w:r w:rsidRPr="001B70A9">
        <w:t xml:space="preserve">Lot-4 : </w:t>
      </w:r>
      <w:r>
        <w:t xml:space="preserve">Travaux de réhabilitation de 50.000 km de pistes rurales reliant le Carrefour </w:t>
      </w:r>
      <w:proofErr w:type="spellStart"/>
      <w:r>
        <w:t>Kodiaran</w:t>
      </w:r>
      <w:proofErr w:type="spellEnd"/>
      <w:r>
        <w:t xml:space="preserve"> à </w:t>
      </w:r>
      <w:proofErr w:type="spellStart"/>
      <w:r>
        <w:t>Koundian</w:t>
      </w:r>
      <w:proofErr w:type="spellEnd"/>
      <w:r>
        <w:t xml:space="preserve"> dans la préfecture de </w:t>
      </w:r>
      <w:proofErr w:type="spellStart"/>
      <w:r>
        <w:t>Mandiana</w:t>
      </w:r>
      <w:proofErr w:type="spellEnd"/>
      <w:r>
        <w:t> ;</w:t>
      </w:r>
    </w:p>
    <w:p w14:paraId="4D40FC62" w14:textId="77777777" w:rsidR="00914297" w:rsidRDefault="00914297" w:rsidP="00914297">
      <w:pPr>
        <w:pStyle w:val="Paragraphedeliste"/>
        <w:numPr>
          <w:ilvl w:val="0"/>
          <w:numId w:val="4"/>
        </w:numPr>
        <w:tabs>
          <w:tab w:val="right" w:pos="7254"/>
        </w:tabs>
        <w:suppressAutoHyphens/>
        <w:overflowPunct w:val="0"/>
        <w:autoSpaceDE w:val="0"/>
        <w:autoSpaceDN w:val="0"/>
        <w:adjustRightInd w:val="0"/>
        <w:spacing w:before="60" w:after="120"/>
        <w:textAlignment w:val="baseline"/>
      </w:pPr>
      <w:r w:rsidRPr="001B70A9">
        <w:t>Lot-</w:t>
      </w:r>
      <w:r>
        <w:t>5</w:t>
      </w:r>
      <w:r w:rsidRPr="001B70A9">
        <w:t xml:space="preserve"> : </w:t>
      </w:r>
      <w:r>
        <w:t xml:space="preserve">Travaux de réhabilitation de 38.000 km de pistes rurales reliant les tronçons </w:t>
      </w:r>
      <w:proofErr w:type="spellStart"/>
      <w:r w:rsidRPr="00F01484">
        <w:t>Limbana-Mangana</w:t>
      </w:r>
      <w:proofErr w:type="spellEnd"/>
      <w:r w:rsidRPr="00F01484">
        <w:t xml:space="preserve"> 12.000 km ; </w:t>
      </w:r>
      <w:proofErr w:type="spellStart"/>
      <w:r w:rsidRPr="00F01484">
        <w:t>Mangana-Bankoumana</w:t>
      </w:r>
      <w:proofErr w:type="spellEnd"/>
      <w:r w:rsidRPr="00F01484">
        <w:t xml:space="preserve"> 16.000 km et </w:t>
      </w:r>
      <w:proofErr w:type="spellStart"/>
      <w:r w:rsidRPr="00F01484">
        <w:t>Bankoumana-</w:t>
      </w:r>
      <w:r>
        <w:t>Koundian</w:t>
      </w:r>
      <w:proofErr w:type="spellEnd"/>
      <w:r>
        <w:t xml:space="preserve"> 10.000 km, dans la préfecture de </w:t>
      </w:r>
      <w:proofErr w:type="spellStart"/>
      <w:r>
        <w:t>Mandiana</w:t>
      </w:r>
      <w:proofErr w:type="spellEnd"/>
      <w:r>
        <w:t>.</w:t>
      </w:r>
    </w:p>
    <w:p w14:paraId="511F239A" w14:textId="77777777" w:rsidR="00914297" w:rsidRDefault="00914297" w:rsidP="00914297">
      <w:pPr>
        <w:pStyle w:val="Paragraphedeliste"/>
        <w:tabs>
          <w:tab w:val="left" w:pos="-720"/>
          <w:tab w:val="left" w:pos="0"/>
        </w:tabs>
        <w:spacing w:before="240" w:after="120"/>
        <w:ind w:firstLine="0"/>
        <w:rPr>
          <w:spacing w:val="-3"/>
        </w:rPr>
      </w:pPr>
    </w:p>
    <w:p w14:paraId="32A5A948" w14:textId="77777777" w:rsidR="00914297" w:rsidRPr="00974599" w:rsidRDefault="00914297" w:rsidP="00914297">
      <w:pPr>
        <w:pStyle w:val="Paragraphedeliste"/>
        <w:numPr>
          <w:ilvl w:val="0"/>
          <w:numId w:val="3"/>
        </w:numPr>
        <w:tabs>
          <w:tab w:val="left" w:pos="-720"/>
          <w:tab w:val="left" w:pos="0"/>
        </w:tabs>
        <w:spacing w:before="240" w:after="120"/>
        <w:rPr>
          <w:spacing w:val="-3"/>
        </w:rPr>
      </w:pPr>
      <w:r w:rsidRPr="00974599">
        <w:rPr>
          <w:spacing w:val="-3"/>
        </w:rPr>
        <w:t xml:space="preserve">Le Projet de Développement de l’Agriculture Commerciale en Guinée (PDACG) invite, par la présente, les </w:t>
      </w:r>
      <w:r w:rsidRPr="00C76C41">
        <w:t xml:space="preserve">Soumissionnaires </w:t>
      </w:r>
      <w:r w:rsidRPr="00974599">
        <w:rPr>
          <w:spacing w:val="-3"/>
        </w:rPr>
        <w:t xml:space="preserve">de pays éligibles à soumettre des Offres sous pli fermé, pour la réalisation des travaux </w:t>
      </w:r>
      <w:r w:rsidRPr="0042346F">
        <w:rPr>
          <w:spacing w:val="-3"/>
        </w:rPr>
        <w:t xml:space="preserve">de 153.238 km Pistes rurales dans les préfectures de </w:t>
      </w:r>
      <w:proofErr w:type="spellStart"/>
      <w:r w:rsidRPr="0042346F">
        <w:rPr>
          <w:spacing w:val="-3"/>
        </w:rPr>
        <w:t>Dalaba</w:t>
      </w:r>
      <w:proofErr w:type="spellEnd"/>
      <w:r w:rsidRPr="0042346F">
        <w:rPr>
          <w:spacing w:val="-3"/>
        </w:rPr>
        <w:t xml:space="preserve"> et </w:t>
      </w:r>
      <w:proofErr w:type="spellStart"/>
      <w:r w:rsidRPr="0042346F">
        <w:rPr>
          <w:spacing w:val="-3"/>
        </w:rPr>
        <w:t>Mandiana</w:t>
      </w:r>
      <w:proofErr w:type="spellEnd"/>
      <w:r w:rsidRPr="00974599">
        <w:rPr>
          <w:spacing w:val="-3"/>
        </w:rPr>
        <w:t xml:space="preserve"> </w:t>
      </w:r>
      <w:r w:rsidRPr="009646BF">
        <w:rPr>
          <w:bCs/>
        </w:rPr>
        <w:t xml:space="preserve">pour un délai d’exécution de </w:t>
      </w:r>
      <w:r>
        <w:rPr>
          <w:bCs/>
        </w:rPr>
        <w:t>huit</w:t>
      </w:r>
      <w:r w:rsidRPr="009646BF">
        <w:rPr>
          <w:bCs/>
        </w:rPr>
        <w:t xml:space="preserve"> (</w:t>
      </w:r>
      <w:r>
        <w:rPr>
          <w:bCs/>
        </w:rPr>
        <w:t>08</w:t>
      </w:r>
      <w:r w:rsidRPr="009646BF">
        <w:rPr>
          <w:bCs/>
        </w:rPr>
        <w:t>) mois.</w:t>
      </w:r>
      <w:r w:rsidRPr="00974599">
        <w:rPr>
          <w:spacing w:val="-3"/>
        </w:rPr>
        <w:t xml:space="preserve">  </w:t>
      </w:r>
    </w:p>
    <w:p w14:paraId="185BFCEF" w14:textId="77777777" w:rsidR="00914297" w:rsidRPr="00C76C41" w:rsidRDefault="00914297" w:rsidP="00914297">
      <w:pPr>
        <w:pStyle w:val="Paragraphedeliste"/>
        <w:numPr>
          <w:ilvl w:val="0"/>
          <w:numId w:val="3"/>
        </w:numPr>
        <w:tabs>
          <w:tab w:val="left" w:pos="-720"/>
          <w:tab w:val="left" w:pos="0"/>
        </w:tabs>
        <w:spacing w:before="240" w:after="120"/>
        <w:rPr>
          <w:spacing w:val="-3"/>
        </w:rPr>
      </w:pPr>
      <w:r w:rsidRPr="00C76C41">
        <w:t>La passation de marchés sera conduite par passation de marchés au niveau international en utilisant un D</w:t>
      </w:r>
      <w:r>
        <w:t>ocument d’Appel d’Offres</w:t>
      </w:r>
      <w:r w:rsidRPr="00C76C41">
        <w:t xml:space="preserve"> (D</w:t>
      </w:r>
      <w:r>
        <w:t>AO</w:t>
      </w:r>
      <w:r w:rsidRPr="00C76C41">
        <w:t>) tel que défini dans les « Règles des Passation de Marchés de la Banque mondiale pour les Emprunteur de FPI. »</w:t>
      </w:r>
      <w:r w:rsidRPr="00B01339">
        <w:rPr>
          <w:bCs/>
        </w:rPr>
        <w:t xml:space="preserve">, </w:t>
      </w:r>
      <w:r w:rsidRPr="00833BAA">
        <w:rPr>
          <w:b/>
          <w:bCs/>
        </w:rPr>
        <w:t>édition Septembre 2023 (« les Règles de Passation des Marchés »)</w:t>
      </w:r>
      <w:r w:rsidRPr="00B01339">
        <w:rPr>
          <w:bCs/>
        </w:rPr>
        <w:t xml:space="preserve">, </w:t>
      </w:r>
      <w:r w:rsidRPr="00C76C41">
        <w:t xml:space="preserve">et est ouvert à tous les Soumissionnaires de pays éligibles. </w:t>
      </w:r>
    </w:p>
    <w:p w14:paraId="1C032522" w14:textId="77777777" w:rsidR="00914297" w:rsidRDefault="00914297" w:rsidP="00914297">
      <w:pPr>
        <w:pStyle w:val="Paragraphedeliste"/>
        <w:numPr>
          <w:ilvl w:val="0"/>
          <w:numId w:val="3"/>
        </w:numPr>
        <w:tabs>
          <w:tab w:val="left" w:pos="-720"/>
          <w:tab w:val="left" w:pos="0"/>
        </w:tabs>
        <w:spacing w:before="240" w:after="120"/>
        <w:rPr>
          <w:spacing w:val="-3"/>
        </w:rPr>
      </w:pPr>
      <w:r w:rsidRPr="00C76C41">
        <w:rPr>
          <w:spacing w:val="-3"/>
        </w:rPr>
        <w:t xml:space="preserve">Les Soumissionnaires intéressés de pays éligibles peuvent obtenir des informations supplémentaires </w:t>
      </w:r>
      <w:r>
        <w:rPr>
          <w:spacing w:val="-3"/>
        </w:rPr>
        <w:t xml:space="preserve">au </w:t>
      </w:r>
      <w:r w:rsidRPr="00C940BB">
        <w:rPr>
          <w:spacing w:val="-3"/>
        </w:rPr>
        <w:t xml:space="preserve">Projet de Développement de l’Agriculture Commerciale en Guinée </w:t>
      </w:r>
      <w:r>
        <w:rPr>
          <w:spacing w:val="-3"/>
        </w:rPr>
        <w:t>(PDACG) sis à l’</w:t>
      </w:r>
      <w:r w:rsidRPr="002974B2">
        <w:rPr>
          <w:rFonts w:eastAsia="SimSun"/>
          <w:b/>
          <w:bCs/>
          <w:szCs w:val="24"/>
          <w:lang w:eastAsia="zh-CN"/>
        </w:rPr>
        <w:t xml:space="preserve">Immeuble Fella, 5ème étage, Quartier </w:t>
      </w:r>
      <w:proofErr w:type="spellStart"/>
      <w:r w:rsidRPr="002974B2">
        <w:rPr>
          <w:rFonts w:eastAsia="SimSun"/>
          <w:b/>
          <w:bCs/>
          <w:szCs w:val="24"/>
          <w:lang w:eastAsia="zh-CN"/>
        </w:rPr>
        <w:t>Camayenne</w:t>
      </w:r>
      <w:proofErr w:type="spellEnd"/>
      <w:r w:rsidRPr="002974B2">
        <w:rPr>
          <w:rFonts w:eastAsia="SimSun"/>
          <w:b/>
          <w:bCs/>
          <w:szCs w:val="24"/>
          <w:lang w:eastAsia="zh-CN"/>
        </w:rPr>
        <w:t xml:space="preserve">, Commune de Dixinn, </w:t>
      </w:r>
      <w:r w:rsidRPr="002974B2">
        <w:rPr>
          <w:rFonts w:eastAsia="Calibri"/>
          <w:b/>
          <w:bCs/>
          <w:szCs w:val="24"/>
        </w:rPr>
        <w:t xml:space="preserve">Tél :(+224) 628 89 66 80/ </w:t>
      </w:r>
      <w:r>
        <w:rPr>
          <w:rFonts w:eastAsia="Calibri"/>
          <w:b/>
          <w:bCs/>
          <w:szCs w:val="24"/>
        </w:rPr>
        <w:t xml:space="preserve">622 52 70 56 </w:t>
      </w:r>
      <w:r w:rsidRPr="00B127B5">
        <w:t xml:space="preserve">ou par courriel : </w:t>
      </w:r>
      <w:hyperlink r:id="rId8" w:history="1">
        <w:r w:rsidRPr="007652D8">
          <w:rPr>
            <w:rStyle w:val="Lienhypertexte"/>
            <w:rFonts w:eastAsia="Calibri"/>
            <w:b/>
            <w:bCs/>
            <w:szCs w:val="24"/>
          </w:rPr>
          <w:t>hamidoudiallo@magel.gov.gn</w:t>
        </w:r>
      </w:hyperlink>
      <w:r w:rsidRPr="00CB3BDC">
        <w:rPr>
          <w:rFonts w:eastAsia="Calibri"/>
          <w:b/>
          <w:bCs/>
          <w:color w:val="0000FF"/>
          <w:szCs w:val="24"/>
        </w:rPr>
        <w:t xml:space="preserve"> </w:t>
      </w:r>
      <w:r>
        <w:rPr>
          <w:spacing w:val="-3"/>
        </w:rPr>
        <w:t xml:space="preserve">avec copie obligatoire à  : </w:t>
      </w:r>
      <w:hyperlink r:id="rId9" w:history="1">
        <w:r w:rsidRPr="00974599">
          <w:rPr>
            <w:rStyle w:val="Lienhypertexte"/>
            <w:rFonts w:eastAsia="Calibri"/>
            <w:b/>
            <w:bCs/>
            <w:szCs w:val="24"/>
          </w:rPr>
          <w:t>pdacg@magel.gov.gn</w:t>
        </w:r>
      </w:hyperlink>
      <w:r w:rsidRPr="00974599">
        <w:rPr>
          <w:rStyle w:val="Lienhypertexte"/>
          <w:rFonts w:eastAsia="Calibri"/>
          <w:b/>
          <w:bCs/>
          <w:szCs w:val="24"/>
        </w:rPr>
        <w:t xml:space="preserve"> et procurement@pdacg.org.gn</w:t>
      </w:r>
      <w:r w:rsidRPr="00833BAA">
        <w:rPr>
          <w:rStyle w:val="Lienhypertexte"/>
          <w:spacing w:val="-3"/>
        </w:rPr>
        <w:t>,</w:t>
      </w:r>
      <w:r>
        <w:rPr>
          <w:spacing w:val="-3"/>
        </w:rPr>
        <w:t xml:space="preserve"> et </w:t>
      </w:r>
      <w:r w:rsidRPr="00C76C41">
        <w:rPr>
          <w:spacing w:val="-3"/>
        </w:rPr>
        <w:t>examiner le Document d</w:t>
      </w:r>
      <w:r>
        <w:rPr>
          <w:spacing w:val="-3"/>
        </w:rPr>
        <w:t>’Appel d’Offres</w:t>
      </w:r>
      <w:r w:rsidRPr="00C76C41">
        <w:rPr>
          <w:spacing w:val="-3"/>
        </w:rPr>
        <w:t xml:space="preserve"> durant les heures de </w:t>
      </w:r>
      <w:r w:rsidRPr="002F1EE9">
        <w:rPr>
          <w:spacing w:val="-3"/>
        </w:rPr>
        <w:t xml:space="preserve">bureau </w:t>
      </w:r>
      <w:r w:rsidRPr="002F1EE9">
        <w:t>de 9 :00 à 17 :00 heures du Lundi au Jeudi et de 9 :00 à 15 :30 les vendredis</w:t>
      </w:r>
      <w:r w:rsidRPr="00833BAA">
        <w:t xml:space="preserve"> </w:t>
      </w:r>
      <w:r w:rsidRPr="002F1EE9">
        <w:t>à l’adresse indiquée ci-dessous</w:t>
      </w:r>
      <w:r w:rsidRPr="002F1EE9">
        <w:rPr>
          <w:spacing w:val="-3"/>
        </w:rPr>
        <w:t>.</w:t>
      </w:r>
      <w:r w:rsidRPr="00C76C41">
        <w:rPr>
          <w:spacing w:val="-3"/>
        </w:rPr>
        <w:t xml:space="preserve"> </w:t>
      </w:r>
    </w:p>
    <w:p w14:paraId="3FB447B1" w14:textId="77777777" w:rsidR="00914297" w:rsidRPr="00713A7F" w:rsidRDefault="00914297" w:rsidP="00914297">
      <w:pPr>
        <w:pStyle w:val="Paragraphedeliste"/>
        <w:numPr>
          <w:ilvl w:val="0"/>
          <w:numId w:val="3"/>
        </w:numPr>
        <w:tabs>
          <w:tab w:val="left" w:pos="-720"/>
          <w:tab w:val="left" w:pos="0"/>
        </w:tabs>
        <w:spacing w:before="240" w:after="120"/>
      </w:pPr>
      <w:r w:rsidRPr="00C76C41">
        <w:t xml:space="preserve">Le Document d’Appel d’Offres en </w:t>
      </w:r>
      <w:r w:rsidRPr="00833BAA">
        <w:t>langue Française</w:t>
      </w:r>
      <w:r w:rsidRPr="00C76C41">
        <w:t xml:space="preserve"> peut être acheté par tous les </w:t>
      </w:r>
      <w:r>
        <w:t>Soumissionnaires</w:t>
      </w:r>
      <w:r w:rsidRPr="00C76C41">
        <w:t xml:space="preserve"> de pays éligibles en formulant une demande écrite à l’adresse ci-dessous contre un paiement</w:t>
      </w:r>
      <w:r>
        <w:t xml:space="preserve"> </w:t>
      </w:r>
      <w:r w:rsidRPr="00C76C41">
        <w:t xml:space="preserve">non remboursable </w:t>
      </w:r>
      <w:r w:rsidRPr="00065E41">
        <w:t xml:space="preserve">de </w:t>
      </w:r>
      <w:r w:rsidRPr="00065E41">
        <w:rPr>
          <w:b/>
          <w:bCs/>
        </w:rPr>
        <w:t>D</w:t>
      </w:r>
      <w:r>
        <w:rPr>
          <w:b/>
          <w:bCs/>
        </w:rPr>
        <w:t>ix</w:t>
      </w:r>
      <w:r w:rsidRPr="00065E41">
        <w:rPr>
          <w:b/>
          <w:bCs/>
        </w:rPr>
        <w:t xml:space="preserve"> millions (</w:t>
      </w:r>
      <w:r>
        <w:rPr>
          <w:b/>
          <w:bCs/>
        </w:rPr>
        <w:t>10</w:t>
      </w:r>
      <w:r w:rsidRPr="00065E41">
        <w:rPr>
          <w:b/>
          <w:bCs/>
        </w:rPr>
        <w:t xml:space="preserve"> 000 000)</w:t>
      </w:r>
      <w:r w:rsidRPr="00833BAA">
        <w:rPr>
          <w:b/>
          <w:bCs/>
        </w:rPr>
        <w:t xml:space="preserve"> de Francs Guinéens</w:t>
      </w:r>
      <w:r w:rsidRPr="0033031B">
        <w:t>.</w:t>
      </w:r>
      <w:r w:rsidRPr="00B01339">
        <w:t xml:space="preserve"> </w:t>
      </w:r>
      <w:r w:rsidRPr="00713A7F">
        <w:t xml:space="preserve">La méthode de paiement se fera Conformément à l’Arrêté Conjoint des Ministres des Finances et du Budget N°2304/MEF/MB/SGG portant modalités de paiement de la redevance de régulation et de la quote-part des produits de vente des Dossiers d’Appel d’Offres, le prix des DAO est reparti comme suit : </w:t>
      </w:r>
    </w:p>
    <w:p w14:paraId="022F2FF0" w14:textId="77777777" w:rsidR="00914297" w:rsidRPr="0033031B" w:rsidRDefault="00914297" w:rsidP="00914297">
      <w:pPr>
        <w:pStyle w:val="Paragraphedeliste"/>
        <w:numPr>
          <w:ilvl w:val="0"/>
          <w:numId w:val="2"/>
        </w:numPr>
        <w:rPr>
          <w:b/>
          <w:bCs/>
          <w:szCs w:val="24"/>
        </w:rPr>
      </w:pPr>
      <w:r w:rsidRPr="0033031B">
        <w:rPr>
          <w:b/>
          <w:bCs/>
          <w:szCs w:val="24"/>
        </w:rPr>
        <w:t xml:space="preserve">30% du prix d’achat du DAO est versé </w:t>
      </w:r>
      <w:r>
        <w:rPr>
          <w:b/>
          <w:bCs/>
          <w:szCs w:val="24"/>
        </w:rPr>
        <w:t xml:space="preserve">au compte de </w:t>
      </w:r>
      <w:r w:rsidRPr="0033031B">
        <w:rPr>
          <w:b/>
          <w:bCs/>
          <w:szCs w:val="24"/>
        </w:rPr>
        <w:t>l'Autorité de Régulation des Marchés Publics (ARMP),</w:t>
      </w:r>
    </w:p>
    <w:p w14:paraId="674ECD79" w14:textId="77777777" w:rsidR="00914297" w:rsidRPr="0033031B" w:rsidRDefault="00914297" w:rsidP="00914297">
      <w:pPr>
        <w:pStyle w:val="Paragraphedeliste"/>
        <w:numPr>
          <w:ilvl w:val="0"/>
          <w:numId w:val="2"/>
        </w:numPr>
        <w:tabs>
          <w:tab w:val="left" w:pos="709"/>
        </w:tabs>
        <w:jc w:val="left"/>
        <w:rPr>
          <w:b/>
          <w:bCs/>
          <w:szCs w:val="24"/>
        </w:rPr>
      </w:pPr>
      <w:r w:rsidRPr="0033031B">
        <w:rPr>
          <w:b/>
          <w:bCs/>
          <w:szCs w:val="24"/>
        </w:rPr>
        <w:t>50% du prix d’achat du DAO est versé au compte du Receveur Central du Trésor à la BCRG,</w:t>
      </w:r>
    </w:p>
    <w:p w14:paraId="552D7925" w14:textId="77777777" w:rsidR="00914297" w:rsidRPr="00833BAA" w:rsidRDefault="00914297" w:rsidP="00914297">
      <w:pPr>
        <w:pStyle w:val="Paragraphedeliste"/>
        <w:numPr>
          <w:ilvl w:val="0"/>
          <w:numId w:val="2"/>
        </w:numPr>
        <w:jc w:val="left"/>
        <w:rPr>
          <w:i/>
          <w:iCs/>
        </w:rPr>
      </w:pPr>
      <w:r w:rsidRPr="0033031B">
        <w:rPr>
          <w:b/>
          <w:bCs/>
          <w:szCs w:val="24"/>
        </w:rPr>
        <w:t xml:space="preserve">20% du prix d’achat du DAO est versé au compte de l'Autorité Contractante. </w:t>
      </w:r>
    </w:p>
    <w:p w14:paraId="4C8D5748" w14:textId="77777777" w:rsidR="00914297" w:rsidRDefault="00914297" w:rsidP="00914297">
      <w:pPr>
        <w:pStyle w:val="Paragraphedeliste"/>
        <w:numPr>
          <w:ilvl w:val="0"/>
          <w:numId w:val="3"/>
        </w:numPr>
        <w:tabs>
          <w:tab w:val="left" w:pos="-720"/>
          <w:tab w:val="left" w:pos="0"/>
        </w:tabs>
        <w:spacing w:before="240" w:after="120"/>
        <w:rPr>
          <w:szCs w:val="24"/>
        </w:rPr>
      </w:pPr>
      <w:r w:rsidRPr="00C76C41">
        <w:t xml:space="preserve">Les Offres </w:t>
      </w:r>
      <w:r w:rsidRPr="00C76C41">
        <w:rPr>
          <w:szCs w:val="24"/>
        </w:rPr>
        <w:t xml:space="preserve">doivent être remises </w:t>
      </w:r>
      <w:r>
        <w:rPr>
          <w:szCs w:val="24"/>
        </w:rPr>
        <w:t xml:space="preserve">au </w:t>
      </w:r>
      <w:r w:rsidRPr="00C940BB">
        <w:rPr>
          <w:spacing w:val="-3"/>
        </w:rPr>
        <w:t xml:space="preserve">Projet de </w:t>
      </w:r>
      <w:r w:rsidRPr="00357166">
        <w:rPr>
          <w:spacing w:val="-3"/>
        </w:rPr>
        <w:t xml:space="preserve">Développement de l’Agriculture Commerciale en Guinée (PDACG) </w:t>
      </w:r>
      <w:r w:rsidRPr="00357166">
        <w:rPr>
          <w:szCs w:val="24"/>
        </w:rPr>
        <w:t xml:space="preserve">au plus tard à </w:t>
      </w:r>
      <w:r w:rsidRPr="00357166">
        <w:rPr>
          <w:b/>
          <w:bCs/>
          <w:iCs/>
        </w:rPr>
        <w:t xml:space="preserve">10 heures 00 minute le </w:t>
      </w:r>
      <w:r>
        <w:rPr>
          <w:b/>
          <w:bCs/>
          <w:iCs/>
        </w:rPr>
        <w:t>05 Novembre</w:t>
      </w:r>
      <w:r w:rsidRPr="00357166">
        <w:rPr>
          <w:b/>
          <w:bCs/>
          <w:iCs/>
        </w:rPr>
        <w:t xml:space="preserve"> 2024</w:t>
      </w:r>
      <w:r w:rsidRPr="00974599">
        <w:rPr>
          <w:szCs w:val="24"/>
        </w:rPr>
        <w:t>.</w:t>
      </w:r>
      <w:r w:rsidRPr="00C76C41">
        <w:rPr>
          <w:szCs w:val="24"/>
        </w:rPr>
        <w:t xml:space="preserve"> La remise des Offres par voie </w:t>
      </w:r>
      <w:r w:rsidRPr="00076C03">
        <w:rPr>
          <w:szCs w:val="24"/>
        </w:rPr>
        <w:t xml:space="preserve">électronique </w:t>
      </w:r>
      <w:r w:rsidRPr="00833BAA">
        <w:rPr>
          <w:szCs w:val="24"/>
        </w:rPr>
        <w:t>ne sera pas</w:t>
      </w:r>
      <w:r w:rsidRPr="00076C03">
        <w:rPr>
          <w:szCs w:val="24"/>
        </w:rPr>
        <w:t xml:space="preserve"> permise.</w:t>
      </w:r>
      <w:r w:rsidRPr="00C76C41">
        <w:rPr>
          <w:szCs w:val="24"/>
        </w:rPr>
        <w:t xml:space="preserve"> Toute Offre reçue après la date limite de remise des Offres sera écartée. Les Offres seront ouvertes publiquement en présence des représentants désignés des Soumissionnaires et de toute personne qui souhaitent assister à l’ouverture des Offres à l’adresse indiquée ci-dessous : </w:t>
      </w:r>
      <w:r w:rsidRPr="002974B2">
        <w:rPr>
          <w:rFonts w:eastAsia="SimSun"/>
          <w:b/>
          <w:bCs/>
          <w:szCs w:val="24"/>
          <w:lang w:eastAsia="zh-CN"/>
        </w:rPr>
        <w:t xml:space="preserve">Immeuble Fella, 5ème étage, Quartier </w:t>
      </w:r>
      <w:proofErr w:type="spellStart"/>
      <w:r w:rsidRPr="002974B2">
        <w:rPr>
          <w:rFonts w:eastAsia="SimSun"/>
          <w:b/>
          <w:bCs/>
          <w:szCs w:val="24"/>
          <w:lang w:eastAsia="zh-CN"/>
        </w:rPr>
        <w:t>Camayenne</w:t>
      </w:r>
      <w:proofErr w:type="spellEnd"/>
      <w:r w:rsidRPr="002974B2">
        <w:rPr>
          <w:rFonts w:eastAsia="SimSun"/>
          <w:b/>
          <w:bCs/>
          <w:szCs w:val="24"/>
          <w:lang w:eastAsia="zh-CN"/>
        </w:rPr>
        <w:t>, Commune de Dixinn,</w:t>
      </w:r>
      <w:r w:rsidRPr="00082CF1">
        <w:rPr>
          <w:b/>
          <w:bCs/>
          <w:iCs/>
        </w:rPr>
        <w:t xml:space="preserve"> </w:t>
      </w:r>
      <w:r w:rsidRPr="00C940BB">
        <w:rPr>
          <w:b/>
          <w:bCs/>
          <w:iCs/>
        </w:rPr>
        <w:t xml:space="preserve">le </w:t>
      </w:r>
      <w:r>
        <w:rPr>
          <w:b/>
          <w:bCs/>
          <w:iCs/>
        </w:rPr>
        <w:t>05 Novembre</w:t>
      </w:r>
      <w:r w:rsidRPr="00357166">
        <w:rPr>
          <w:b/>
          <w:bCs/>
          <w:iCs/>
        </w:rPr>
        <w:t xml:space="preserve"> 2024</w:t>
      </w:r>
      <w:r>
        <w:rPr>
          <w:b/>
          <w:bCs/>
          <w:iCs/>
        </w:rPr>
        <w:t xml:space="preserve"> </w:t>
      </w:r>
      <w:r w:rsidRPr="00C76C41">
        <w:rPr>
          <w:szCs w:val="24"/>
        </w:rPr>
        <w:t>à</w:t>
      </w:r>
      <w:r>
        <w:rPr>
          <w:szCs w:val="24"/>
        </w:rPr>
        <w:t xml:space="preserve"> </w:t>
      </w:r>
      <w:r w:rsidRPr="00C940BB">
        <w:rPr>
          <w:b/>
          <w:bCs/>
          <w:iCs/>
        </w:rPr>
        <w:t xml:space="preserve">10 heures </w:t>
      </w:r>
      <w:r>
        <w:rPr>
          <w:b/>
          <w:bCs/>
          <w:iCs/>
        </w:rPr>
        <w:t>3</w:t>
      </w:r>
      <w:r w:rsidRPr="00C940BB">
        <w:rPr>
          <w:b/>
          <w:bCs/>
          <w:iCs/>
        </w:rPr>
        <w:t>0 minute</w:t>
      </w:r>
      <w:r>
        <w:rPr>
          <w:b/>
          <w:bCs/>
          <w:iCs/>
        </w:rPr>
        <w:t>s</w:t>
      </w:r>
      <w:r w:rsidRPr="00C76C41">
        <w:rPr>
          <w:szCs w:val="24"/>
        </w:rPr>
        <w:t xml:space="preserve">. </w:t>
      </w:r>
    </w:p>
    <w:p w14:paraId="655A5300" w14:textId="77777777" w:rsidR="00914297" w:rsidRPr="00833BAA" w:rsidRDefault="00914297" w:rsidP="00914297">
      <w:pPr>
        <w:ind w:left="142" w:firstLine="0"/>
        <w:rPr>
          <w:b/>
          <w:bCs/>
          <w:szCs w:val="24"/>
        </w:rPr>
      </w:pPr>
      <w:r w:rsidRPr="000E77EC">
        <w:rPr>
          <w:b/>
          <w:bCs/>
          <w:szCs w:val="24"/>
        </w:rPr>
        <w:lastRenderedPageBreak/>
        <w:t xml:space="preserve">En outre, le candidat devra joindre à son offre, la version électronique (clé USB) des fichiers     modifiables des DQE et BPU remplis sur la base de ceux du Dossier d’Appel d’Offres reçu. </w:t>
      </w:r>
    </w:p>
    <w:p w14:paraId="552F0BC7" w14:textId="77777777" w:rsidR="00914297" w:rsidRPr="002571CD" w:rsidRDefault="00914297" w:rsidP="00914297">
      <w:pPr>
        <w:pStyle w:val="Paragraphedeliste"/>
        <w:numPr>
          <w:ilvl w:val="0"/>
          <w:numId w:val="3"/>
        </w:numPr>
        <w:tabs>
          <w:tab w:val="left" w:pos="432"/>
        </w:tabs>
        <w:suppressAutoHyphens/>
        <w:overflowPunct w:val="0"/>
        <w:autoSpaceDE w:val="0"/>
        <w:autoSpaceDN w:val="0"/>
        <w:adjustRightInd w:val="0"/>
        <w:spacing w:after="0"/>
        <w:textAlignment w:val="baseline"/>
      </w:pPr>
      <w:r>
        <w:t xml:space="preserve">Une redevance de l’Autorité de Régulation des Marchés Publics (ARMP) au taux de 0,60%, un frais d’immatriculation de la Direction Générale du Contrôle des Marchés Publics (DGCMP) au taux de 0,30% et un droit proportionnel </w:t>
      </w:r>
      <w:r w:rsidRPr="00625DEF">
        <w:t>de 1</w:t>
      </w:r>
      <w:r>
        <w:t xml:space="preserve"> </w:t>
      </w:r>
      <w:r w:rsidRPr="00625DEF">
        <w:t>%</w:t>
      </w:r>
      <w:r>
        <w:t xml:space="preserve"> du montant hors taxes du contrat seront payés par l’attributaire du marché.</w:t>
      </w:r>
    </w:p>
    <w:p w14:paraId="08E3B6E6" w14:textId="77777777" w:rsidR="00914297" w:rsidRDefault="00914297" w:rsidP="00914297">
      <w:pPr>
        <w:pStyle w:val="Paragraphedeliste"/>
        <w:numPr>
          <w:ilvl w:val="0"/>
          <w:numId w:val="3"/>
        </w:numPr>
        <w:tabs>
          <w:tab w:val="left" w:pos="-720"/>
          <w:tab w:val="left" w:pos="0"/>
        </w:tabs>
        <w:spacing w:before="240" w:after="120"/>
      </w:pPr>
      <w:r w:rsidRPr="00D3724B">
        <w:rPr>
          <w:szCs w:val="24"/>
        </w:rPr>
        <w:t xml:space="preserve">Toutes les Offres doivent être accompagnées d’une Garantie d’Offre, </w:t>
      </w:r>
      <w:r w:rsidRPr="00540F38">
        <w:t xml:space="preserve">pour des montants </w:t>
      </w:r>
      <w:r>
        <w:t xml:space="preserve">uniquement </w:t>
      </w:r>
      <w:r w:rsidRPr="00540F38">
        <w:t>en GNF dont :</w:t>
      </w:r>
    </w:p>
    <w:p w14:paraId="22EC54B9" w14:textId="77777777" w:rsidR="00914297" w:rsidRPr="00926411" w:rsidRDefault="00914297" w:rsidP="00914297">
      <w:pPr>
        <w:pStyle w:val="Paragraphedeliste"/>
        <w:numPr>
          <w:ilvl w:val="0"/>
          <w:numId w:val="4"/>
        </w:numPr>
        <w:tabs>
          <w:tab w:val="right" w:pos="7254"/>
        </w:tabs>
        <w:suppressAutoHyphens/>
        <w:overflowPunct w:val="0"/>
        <w:autoSpaceDE w:val="0"/>
        <w:autoSpaceDN w:val="0"/>
        <w:adjustRightInd w:val="0"/>
        <w:spacing w:before="60" w:after="120"/>
        <w:textAlignment w:val="baseline"/>
        <w:rPr>
          <w:b/>
          <w:bCs/>
        </w:rPr>
      </w:pPr>
      <w:r w:rsidRPr="00926411">
        <w:rPr>
          <w:b/>
          <w:bCs/>
        </w:rPr>
        <w:t>Lot 1 : l’équivalent de   86 000 000 GNF ;</w:t>
      </w:r>
    </w:p>
    <w:p w14:paraId="5F7AF567" w14:textId="77777777" w:rsidR="00914297" w:rsidRPr="00926411" w:rsidRDefault="00914297" w:rsidP="00914297">
      <w:pPr>
        <w:pStyle w:val="Paragraphedeliste"/>
        <w:numPr>
          <w:ilvl w:val="0"/>
          <w:numId w:val="4"/>
        </w:numPr>
        <w:tabs>
          <w:tab w:val="right" w:pos="7254"/>
        </w:tabs>
        <w:suppressAutoHyphens/>
        <w:overflowPunct w:val="0"/>
        <w:autoSpaceDE w:val="0"/>
        <w:autoSpaceDN w:val="0"/>
        <w:adjustRightInd w:val="0"/>
        <w:spacing w:before="60" w:after="120"/>
        <w:textAlignment w:val="baseline"/>
        <w:rPr>
          <w:b/>
          <w:bCs/>
        </w:rPr>
      </w:pPr>
      <w:r w:rsidRPr="00926411">
        <w:rPr>
          <w:b/>
          <w:bCs/>
        </w:rPr>
        <w:t>Lot 2 : l’équivalent de   60 000 000 GNF ;</w:t>
      </w:r>
    </w:p>
    <w:p w14:paraId="0B25531A" w14:textId="77777777" w:rsidR="00914297" w:rsidRPr="00926411" w:rsidRDefault="00914297" w:rsidP="00914297">
      <w:pPr>
        <w:pStyle w:val="Paragraphedeliste"/>
        <w:numPr>
          <w:ilvl w:val="0"/>
          <w:numId w:val="4"/>
        </w:numPr>
        <w:tabs>
          <w:tab w:val="right" w:pos="7254"/>
        </w:tabs>
        <w:suppressAutoHyphens/>
        <w:overflowPunct w:val="0"/>
        <w:autoSpaceDE w:val="0"/>
        <w:autoSpaceDN w:val="0"/>
        <w:adjustRightInd w:val="0"/>
        <w:spacing w:before="60" w:after="120"/>
        <w:textAlignment w:val="baseline"/>
        <w:rPr>
          <w:b/>
          <w:bCs/>
        </w:rPr>
      </w:pPr>
      <w:r w:rsidRPr="00926411">
        <w:rPr>
          <w:b/>
          <w:bCs/>
        </w:rPr>
        <w:t>Lot-3 : l’équivalent de   100 000 000 GNF ;</w:t>
      </w:r>
    </w:p>
    <w:p w14:paraId="31F1C864" w14:textId="77777777" w:rsidR="00914297" w:rsidRPr="00926411" w:rsidRDefault="00914297" w:rsidP="00914297">
      <w:pPr>
        <w:pStyle w:val="Paragraphedeliste"/>
        <w:numPr>
          <w:ilvl w:val="0"/>
          <w:numId w:val="4"/>
        </w:numPr>
        <w:tabs>
          <w:tab w:val="right" w:pos="7254"/>
        </w:tabs>
        <w:suppressAutoHyphens/>
        <w:overflowPunct w:val="0"/>
        <w:autoSpaceDE w:val="0"/>
        <w:autoSpaceDN w:val="0"/>
        <w:adjustRightInd w:val="0"/>
        <w:spacing w:before="60" w:after="0"/>
        <w:textAlignment w:val="baseline"/>
        <w:rPr>
          <w:b/>
          <w:bCs/>
        </w:rPr>
      </w:pPr>
      <w:r w:rsidRPr="00926411">
        <w:rPr>
          <w:b/>
          <w:bCs/>
        </w:rPr>
        <w:t>Lot 4 : l’équivalent de    188 000 000 GNF ;</w:t>
      </w:r>
    </w:p>
    <w:p w14:paraId="23A163CB" w14:textId="77777777" w:rsidR="00914297" w:rsidRPr="00926411" w:rsidRDefault="00914297" w:rsidP="00914297">
      <w:pPr>
        <w:pStyle w:val="Paragraphedeliste"/>
        <w:numPr>
          <w:ilvl w:val="0"/>
          <w:numId w:val="4"/>
        </w:numPr>
        <w:tabs>
          <w:tab w:val="right" w:pos="7254"/>
        </w:tabs>
        <w:suppressAutoHyphens/>
        <w:overflowPunct w:val="0"/>
        <w:autoSpaceDE w:val="0"/>
        <w:autoSpaceDN w:val="0"/>
        <w:adjustRightInd w:val="0"/>
        <w:spacing w:before="60" w:after="0"/>
        <w:textAlignment w:val="baseline"/>
        <w:rPr>
          <w:b/>
          <w:bCs/>
        </w:rPr>
      </w:pPr>
      <w:r w:rsidRPr="00926411">
        <w:rPr>
          <w:b/>
          <w:bCs/>
        </w:rPr>
        <w:t>Lot 5 : l’équivalent de    142 000 000 GNF.</w:t>
      </w:r>
    </w:p>
    <w:p w14:paraId="017E36D2" w14:textId="77777777" w:rsidR="00914297" w:rsidRPr="00C76C41" w:rsidRDefault="00914297" w:rsidP="00914297">
      <w:pPr>
        <w:pStyle w:val="Paragraphedeliste"/>
        <w:numPr>
          <w:ilvl w:val="0"/>
          <w:numId w:val="3"/>
        </w:numPr>
        <w:tabs>
          <w:tab w:val="left" w:pos="-720"/>
          <w:tab w:val="left" w:pos="0"/>
        </w:tabs>
        <w:spacing w:before="240" w:after="120"/>
      </w:pPr>
      <w:r w:rsidRPr="00D3724B">
        <w:rPr>
          <w:szCs w:val="24"/>
        </w:rPr>
        <w:t xml:space="preserve">Veillez noter que le Règlement de Passation des Marchés exige que l’Emprunteur divulgue les informations sur les </w:t>
      </w:r>
      <w:hyperlink r:id="rId10" w:history="1">
        <w:r w:rsidRPr="00D3724B">
          <w:rPr>
            <w:szCs w:val="24"/>
          </w:rPr>
          <w:t>propriétaires effectifs</w:t>
        </w:r>
      </w:hyperlink>
      <w:r w:rsidRPr="00D3724B">
        <w:rPr>
          <w:szCs w:val="24"/>
        </w:rPr>
        <w:t xml:space="preserve"> du Soumissionnaire attributaire, dans le cadre de l’avis de Notification d’Attribution de Marché, en renseignant le Formulaire de Divulgation </w:t>
      </w:r>
      <w:hyperlink r:id="rId11" w:history="1">
        <w:r w:rsidRPr="00D3724B">
          <w:rPr>
            <w:szCs w:val="24"/>
          </w:rPr>
          <w:t>des Bénéficiaires Effectifs</w:t>
        </w:r>
      </w:hyperlink>
      <w:r w:rsidRPr="00D3724B">
        <w:rPr>
          <w:szCs w:val="24"/>
        </w:rPr>
        <w:t xml:space="preserve"> inclus dans le document d’Appel d’Offres ».</w:t>
      </w:r>
    </w:p>
    <w:p w14:paraId="6209C21F" w14:textId="77777777" w:rsidR="00914297" w:rsidRPr="00C76C41" w:rsidRDefault="00914297" w:rsidP="00914297">
      <w:pPr>
        <w:pStyle w:val="Paragraphedeliste"/>
        <w:numPr>
          <w:ilvl w:val="0"/>
          <w:numId w:val="3"/>
        </w:numPr>
        <w:tabs>
          <w:tab w:val="left" w:pos="-720"/>
          <w:tab w:val="left" w:pos="0"/>
        </w:tabs>
        <w:spacing w:before="240" w:after="120"/>
        <w:rPr>
          <w:szCs w:val="24"/>
        </w:rPr>
      </w:pPr>
      <w:r w:rsidRPr="00C76C41">
        <w:rPr>
          <w:szCs w:val="24"/>
        </w:rPr>
        <w:t xml:space="preserve">L’adresse </w:t>
      </w:r>
      <w:r>
        <w:rPr>
          <w:szCs w:val="24"/>
        </w:rPr>
        <w:t>à la</w:t>
      </w:r>
      <w:r w:rsidRPr="00C76C41">
        <w:rPr>
          <w:szCs w:val="24"/>
        </w:rPr>
        <w:t xml:space="preserve">quelle il est fait référence ci-dessus est : </w:t>
      </w:r>
    </w:p>
    <w:p w14:paraId="2B690312" w14:textId="77777777" w:rsidR="00914297" w:rsidRPr="00C76C41" w:rsidRDefault="00914297" w:rsidP="00914297">
      <w:pPr>
        <w:spacing w:after="0"/>
        <w:rPr>
          <w:i/>
          <w:iCs/>
          <w:szCs w:val="24"/>
        </w:rPr>
      </w:pPr>
      <w:r w:rsidRPr="00833BAA">
        <w:rPr>
          <w:b/>
          <w:bCs/>
          <w:spacing w:val="-3"/>
        </w:rPr>
        <w:t xml:space="preserve">Projet de Développement de l’Agriculture Commerciale en Guinée (PDACG) </w:t>
      </w:r>
    </w:p>
    <w:p w14:paraId="76A78661" w14:textId="77777777" w:rsidR="00914297" w:rsidRDefault="00914297" w:rsidP="00914297">
      <w:pPr>
        <w:spacing w:after="0"/>
        <w:rPr>
          <w:b/>
          <w:bCs/>
          <w:szCs w:val="24"/>
        </w:rPr>
      </w:pPr>
      <w:r w:rsidRPr="00833BAA">
        <w:rPr>
          <w:b/>
          <w:bCs/>
          <w:szCs w:val="24"/>
        </w:rPr>
        <w:t>M</w:t>
      </w:r>
      <w:r>
        <w:rPr>
          <w:b/>
          <w:bCs/>
          <w:szCs w:val="24"/>
        </w:rPr>
        <w:t>.</w:t>
      </w:r>
      <w:r w:rsidRPr="00833BAA">
        <w:rPr>
          <w:b/>
          <w:bCs/>
          <w:szCs w:val="24"/>
        </w:rPr>
        <w:t xml:space="preserve"> Hamidou</w:t>
      </w:r>
      <w:r>
        <w:rPr>
          <w:b/>
          <w:bCs/>
          <w:szCs w:val="24"/>
        </w:rPr>
        <w:t xml:space="preserve"> </w:t>
      </w:r>
      <w:r w:rsidRPr="00833BAA">
        <w:rPr>
          <w:b/>
          <w:bCs/>
          <w:szCs w:val="24"/>
        </w:rPr>
        <w:t>DIALLO</w:t>
      </w:r>
    </w:p>
    <w:p w14:paraId="13DB23F6" w14:textId="77777777" w:rsidR="00914297" w:rsidRDefault="00914297" w:rsidP="00914297">
      <w:pPr>
        <w:spacing w:after="0"/>
        <w:rPr>
          <w:rFonts w:eastAsia="SimSun"/>
          <w:b/>
          <w:bCs/>
          <w:szCs w:val="24"/>
          <w:lang w:eastAsia="zh-CN"/>
        </w:rPr>
      </w:pPr>
      <w:r w:rsidRPr="002974B2">
        <w:rPr>
          <w:rFonts w:eastAsia="SimSun"/>
          <w:b/>
          <w:bCs/>
          <w:szCs w:val="24"/>
          <w:lang w:eastAsia="zh-CN"/>
        </w:rPr>
        <w:t xml:space="preserve">Immeuble Fella, 5ème étage, Quartier </w:t>
      </w:r>
      <w:proofErr w:type="spellStart"/>
      <w:r w:rsidRPr="002974B2">
        <w:rPr>
          <w:rFonts w:eastAsia="SimSun"/>
          <w:b/>
          <w:bCs/>
          <w:szCs w:val="24"/>
          <w:lang w:eastAsia="zh-CN"/>
        </w:rPr>
        <w:t>Camayenne</w:t>
      </w:r>
      <w:proofErr w:type="spellEnd"/>
      <w:r w:rsidRPr="002974B2">
        <w:rPr>
          <w:rFonts w:eastAsia="SimSun"/>
          <w:b/>
          <w:bCs/>
          <w:szCs w:val="24"/>
          <w:lang w:eastAsia="zh-CN"/>
        </w:rPr>
        <w:t>, Commune de Dixinn</w:t>
      </w:r>
    </w:p>
    <w:p w14:paraId="58FF5D6C" w14:textId="77777777" w:rsidR="00914297" w:rsidRDefault="00914297" w:rsidP="00914297">
      <w:pPr>
        <w:pStyle w:val="S1-Header2"/>
        <w:numPr>
          <w:ilvl w:val="0"/>
          <w:numId w:val="0"/>
        </w:numPr>
        <w:ind w:left="720" w:hanging="720"/>
        <w:rPr>
          <w:lang w:val="fr-FR"/>
        </w:rPr>
      </w:pPr>
      <w:r>
        <w:rPr>
          <w:lang w:val="fr-FR"/>
        </w:rPr>
        <w:t>Conakry, République de Guinée</w:t>
      </w:r>
    </w:p>
    <w:p w14:paraId="57AFD5E5" w14:textId="77777777" w:rsidR="00914297" w:rsidRPr="00065E41" w:rsidRDefault="00914297" w:rsidP="00914297">
      <w:pPr>
        <w:pStyle w:val="S1-Header2"/>
        <w:numPr>
          <w:ilvl w:val="0"/>
          <w:numId w:val="0"/>
        </w:numPr>
        <w:ind w:left="720" w:hanging="720"/>
        <w:rPr>
          <w:bCs/>
          <w:lang w:val="fr-FR"/>
        </w:rPr>
      </w:pPr>
      <w:r w:rsidRPr="00833BAA">
        <w:rPr>
          <w:rFonts w:eastAsia="Calibri"/>
          <w:bCs/>
          <w:lang w:val="fr-FR"/>
        </w:rPr>
        <w:t xml:space="preserve">Tél :(+224) </w:t>
      </w:r>
      <w:r w:rsidRPr="00065E41">
        <w:rPr>
          <w:rFonts w:eastAsia="Calibri"/>
          <w:bCs/>
          <w:lang w:val="fr-FR"/>
        </w:rPr>
        <w:t>628 89 66 80/ 622 52 70 56</w:t>
      </w:r>
    </w:p>
    <w:p w14:paraId="0FAD8DFB" w14:textId="77777777" w:rsidR="00914297" w:rsidRDefault="00914297" w:rsidP="00914297">
      <w:pPr>
        <w:spacing w:after="0"/>
        <w:ind w:left="0" w:firstLine="0"/>
        <w:rPr>
          <w:rFonts w:eastAsia="SimSun"/>
          <w:iCs/>
          <w:szCs w:val="24"/>
          <w:lang w:eastAsia="zh-CN"/>
        </w:rPr>
      </w:pPr>
      <w:proofErr w:type="gramStart"/>
      <w:r w:rsidRPr="002974B2">
        <w:rPr>
          <w:rFonts w:eastAsia="Calibri"/>
          <w:b/>
          <w:bCs/>
          <w:szCs w:val="24"/>
        </w:rPr>
        <w:t>Email</w:t>
      </w:r>
      <w:proofErr w:type="gramEnd"/>
      <w:r w:rsidRPr="002974B2">
        <w:rPr>
          <w:rFonts w:eastAsia="Calibri"/>
          <w:b/>
          <w:bCs/>
          <w:szCs w:val="24"/>
        </w:rPr>
        <w:t xml:space="preserve"> : </w:t>
      </w:r>
      <w:hyperlink r:id="rId12" w:history="1">
        <w:r w:rsidRPr="007652D8">
          <w:rPr>
            <w:rStyle w:val="Lienhypertexte"/>
            <w:rFonts w:eastAsia="Calibri"/>
            <w:b/>
            <w:bCs/>
            <w:szCs w:val="24"/>
          </w:rPr>
          <w:t>hamidoudiallo@magel.gov.gn</w:t>
        </w:r>
      </w:hyperlink>
      <w:r w:rsidRPr="00CB3BDC">
        <w:rPr>
          <w:rFonts w:eastAsia="Calibri"/>
          <w:b/>
          <w:bCs/>
          <w:color w:val="0000FF"/>
          <w:szCs w:val="24"/>
        </w:rPr>
        <w:t xml:space="preserve"> </w:t>
      </w:r>
      <w:r w:rsidRPr="00CB3BDC">
        <w:rPr>
          <w:rFonts w:eastAsia="Calibri"/>
          <w:b/>
          <w:bCs/>
          <w:szCs w:val="24"/>
        </w:rPr>
        <w:t>avec</w:t>
      </w:r>
      <w:r w:rsidRPr="00E23F2C">
        <w:rPr>
          <w:rFonts w:eastAsia="Calibri"/>
          <w:b/>
          <w:bCs/>
          <w:szCs w:val="24"/>
        </w:rPr>
        <w:t xml:space="preserve"> copie</w:t>
      </w:r>
      <w:r>
        <w:rPr>
          <w:rFonts w:eastAsia="Calibri"/>
          <w:b/>
          <w:bCs/>
          <w:szCs w:val="24"/>
        </w:rPr>
        <w:t xml:space="preserve"> obligatoire à</w:t>
      </w:r>
      <w:r w:rsidRPr="00E23F2C">
        <w:rPr>
          <w:rFonts w:eastAsia="Calibri"/>
          <w:b/>
          <w:bCs/>
          <w:szCs w:val="24"/>
        </w:rPr>
        <w:t xml:space="preserve"> : </w:t>
      </w:r>
      <w:hyperlink r:id="rId13" w:history="1">
        <w:r w:rsidRPr="007652D8">
          <w:rPr>
            <w:rStyle w:val="Lienhypertexte"/>
            <w:rFonts w:eastAsia="Calibri"/>
            <w:b/>
            <w:bCs/>
            <w:szCs w:val="24"/>
          </w:rPr>
          <w:t>pdacg@magel.gov.gn</w:t>
        </w:r>
      </w:hyperlink>
      <w:r w:rsidRPr="00C12913">
        <w:rPr>
          <w:rStyle w:val="Lienhypertexte"/>
          <w:rFonts w:eastAsia="Calibri"/>
          <w:b/>
          <w:bCs/>
          <w:szCs w:val="24"/>
        </w:rPr>
        <w:t xml:space="preserve"> et </w:t>
      </w:r>
      <w:hyperlink r:id="rId14" w:history="1">
        <w:r w:rsidRPr="00BC4C47">
          <w:rPr>
            <w:rStyle w:val="Lienhypertexte"/>
            <w:rFonts w:eastAsia="Calibri"/>
            <w:b/>
            <w:bCs/>
            <w:szCs w:val="24"/>
          </w:rPr>
          <w:t>procurement@pdacg.org.gn</w:t>
        </w:r>
      </w:hyperlink>
      <w:r w:rsidRPr="003121CE">
        <w:rPr>
          <w:rFonts w:eastAsia="SimSun"/>
          <w:iCs/>
          <w:szCs w:val="24"/>
          <w:lang w:eastAsia="zh-CN"/>
        </w:rPr>
        <w:tab/>
      </w:r>
    </w:p>
    <w:p w14:paraId="102C9D38" w14:textId="77777777" w:rsidR="00914297" w:rsidRDefault="00914297" w:rsidP="00914297">
      <w:pPr>
        <w:spacing w:after="0"/>
        <w:ind w:left="0" w:firstLine="0"/>
        <w:rPr>
          <w:rFonts w:eastAsia="Calibri"/>
          <w:b/>
          <w:bCs/>
          <w:color w:val="0000FF"/>
          <w:szCs w:val="24"/>
          <w:u w:val="single"/>
        </w:rPr>
      </w:pPr>
    </w:p>
    <w:p w14:paraId="08C42D99" w14:textId="77777777" w:rsidR="00914297" w:rsidRDefault="00914297" w:rsidP="00914297">
      <w:pPr>
        <w:spacing w:after="0"/>
        <w:ind w:left="0" w:firstLine="0"/>
        <w:rPr>
          <w:rFonts w:eastAsia="SimSun"/>
          <w:szCs w:val="24"/>
          <w:lang w:val="en-US" w:eastAsia="zh-CN"/>
        </w:rPr>
      </w:pPr>
      <w:r w:rsidRPr="00833BAA">
        <w:rPr>
          <w:rFonts w:eastAsia="Calibri"/>
          <w:b/>
          <w:bCs/>
          <w:szCs w:val="24"/>
          <w:lang w:val="en-US"/>
        </w:rPr>
        <w:t xml:space="preserve">Site </w:t>
      </w:r>
      <w:proofErr w:type="gramStart"/>
      <w:r w:rsidRPr="00833BAA">
        <w:rPr>
          <w:rFonts w:eastAsia="Calibri"/>
          <w:b/>
          <w:bCs/>
          <w:szCs w:val="24"/>
          <w:lang w:val="en-US"/>
        </w:rPr>
        <w:t>web :</w:t>
      </w:r>
      <w:proofErr w:type="gramEnd"/>
      <w:r w:rsidRPr="00833BAA">
        <w:rPr>
          <w:rFonts w:eastAsia="SimSun"/>
          <w:iCs/>
          <w:szCs w:val="24"/>
          <w:lang w:val="en-US" w:eastAsia="zh-CN"/>
        </w:rPr>
        <w:t xml:space="preserve"> </w:t>
      </w:r>
      <w:r w:rsidRPr="00833BAA">
        <w:rPr>
          <w:rFonts w:eastAsia="Calibri"/>
          <w:b/>
          <w:bCs/>
          <w:color w:val="0000FF"/>
          <w:szCs w:val="24"/>
          <w:u w:val="single"/>
          <w:lang w:val="en-US"/>
        </w:rPr>
        <w:t>https://offre.magel.gov.gn/</w:t>
      </w:r>
      <w:r w:rsidRPr="00833BAA">
        <w:rPr>
          <w:rFonts w:eastAsia="SimSun"/>
          <w:iCs/>
          <w:szCs w:val="24"/>
          <w:lang w:val="en-US" w:eastAsia="zh-CN"/>
        </w:rPr>
        <w:t xml:space="preserve">                </w:t>
      </w:r>
      <w:r w:rsidRPr="00833BAA">
        <w:rPr>
          <w:rFonts w:eastAsia="SimSun"/>
          <w:szCs w:val="24"/>
          <w:lang w:val="en-US" w:eastAsia="zh-CN"/>
        </w:rPr>
        <w:t xml:space="preserve">                                             </w:t>
      </w:r>
    </w:p>
    <w:p w14:paraId="1A982851" w14:textId="0F4FF059" w:rsidR="00914297" w:rsidRPr="00833BAA" w:rsidRDefault="00914297" w:rsidP="00914297">
      <w:pPr>
        <w:spacing w:after="0"/>
        <w:ind w:left="0" w:firstLine="0"/>
        <w:rPr>
          <w:b/>
          <w:bCs/>
          <w:szCs w:val="24"/>
          <w:lang w:val="en-US"/>
        </w:rPr>
      </w:pPr>
      <w:r w:rsidRPr="00833BAA">
        <w:rPr>
          <w:rFonts w:eastAsia="SimSun"/>
          <w:szCs w:val="24"/>
          <w:lang w:val="en-US" w:eastAsia="zh-CN"/>
        </w:rPr>
        <w:t xml:space="preserve">                                                          </w:t>
      </w:r>
    </w:p>
    <w:p w14:paraId="5A4F5D07" w14:textId="77777777" w:rsidR="00914297" w:rsidRPr="00833BAA" w:rsidRDefault="00914297" w:rsidP="00914297">
      <w:pPr>
        <w:spacing w:after="0"/>
        <w:jc w:val="right"/>
        <w:rPr>
          <w:b/>
          <w:bCs/>
          <w:szCs w:val="24"/>
          <w:lang w:val="en-US"/>
        </w:rPr>
      </w:pPr>
    </w:p>
    <w:p w14:paraId="31B0B8D3" w14:textId="77777777" w:rsidR="00914297" w:rsidRPr="0071158C" w:rsidRDefault="00914297" w:rsidP="00914297">
      <w:pPr>
        <w:jc w:val="center"/>
        <w:rPr>
          <w:i/>
          <w:iCs/>
          <w:szCs w:val="24"/>
        </w:rPr>
      </w:pPr>
      <w:r w:rsidRPr="00833BAA">
        <w:rPr>
          <w:b/>
          <w:i/>
          <w:iCs/>
          <w:szCs w:val="24"/>
          <w:lang w:val="en-US" w:eastAsia="en-US"/>
        </w:rPr>
        <w:t xml:space="preserve">                                                                                      </w:t>
      </w:r>
      <w:r>
        <w:rPr>
          <w:b/>
          <w:i/>
          <w:iCs/>
          <w:szCs w:val="24"/>
          <w:lang w:val="en-US" w:eastAsia="en-US"/>
        </w:rPr>
        <w:t xml:space="preserve">  </w:t>
      </w:r>
      <w:r w:rsidRPr="00833BAA">
        <w:rPr>
          <w:b/>
          <w:i/>
          <w:iCs/>
          <w:szCs w:val="24"/>
          <w:lang w:val="en-US" w:eastAsia="en-US"/>
        </w:rPr>
        <w:t xml:space="preserve">           </w:t>
      </w:r>
      <w:r w:rsidRPr="00833BAA">
        <w:rPr>
          <w:b/>
          <w:i/>
          <w:iCs/>
          <w:szCs w:val="24"/>
          <w:lang w:eastAsia="en-US"/>
        </w:rPr>
        <w:t xml:space="preserve">Conakry, le </w:t>
      </w:r>
      <w:r>
        <w:rPr>
          <w:b/>
          <w:i/>
          <w:iCs/>
          <w:szCs w:val="24"/>
          <w:lang w:eastAsia="en-US"/>
        </w:rPr>
        <w:t xml:space="preserve">23 Septembre </w:t>
      </w:r>
      <w:r w:rsidRPr="00833BAA">
        <w:rPr>
          <w:b/>
          <w:i/>
          <w:iCs/>
          <w:szCs w:val="24"/>
          <w:lang w:eastAsia="en-US"/>
        </w:rPr>
        <w:t>202</w:t>
      </w:r>
      <w:r>
        <w:rPr>
          <w:b/>
          <w:i/>
          <w:iCs/>
          <w:szCs w:val="24"/>
          <w:lang w:eastAsia="en-US"/>
        </w:rPr>
        <w:t>4</w:t>
      </w:r>
      <w:r w:rsidRPr="0071158C" w:rsidDel="007A013B">
        <w:rPr>
          <w:i/>
          <w:iCs/>
          <w:szCs w:val="24"/>
        </w:rPr>
        <w:t xml:space="preserve"> </w:t>
      </w:r>
    </w:p>
    <w:p w14:paraId="0C2F573A" w14:textId="77777777" w:rsidR="00914297" w:rsidRDefault="00914297" w:rsidP="00914297">
      <w:pPr>
        <w:pStyle w:val="S1-Header2"/>
        <w:numPr>
          <w:ilvl w:val="0"/>
          <w:numId w:val="0"/>
        </w:numPr>
        <w:ind w:left="720"/>
        <w:jc w:val="center"/>
        <w:rPr>
          <w:lang w:val="fr-FR"/>
        </w:rPr>
      </w:pPr>
      <w:r w:rsidRPr="00833BAA">
        <w:rPr>
          <w:i/>
          <w:lang w:val="fr-FR"/>
        </w:rPr>
        <w:tab/>
      </w:r>
      <w:r w:rsidRPr="00833BAA">
        <w:rPr>
          <w:i/>
          <w:lang w:val="fr-FR"/>
        </w:rPr>
        <w:tab/>
      </w:r>
      <w:r w:rsidRPr="00833BAA">
        <w:rPr>
          <w:lang w:val="fr-FR"/>
        </w:rPr>
        <w:t xml:space="preserve">                                                                 </w:t>
      </w:r>
    </w:p>
    <w:p w14:paraId="63AF43FA" w14:textId="195F35B2" w:rsidR="00914297" w:rsidRDefault="00914297" w:rsidP="00914297">
      <w:pPr>
        <w:pStyle w:val="S1-Header2"/>
        <w:numPr>
          <w:ilvl w:val="0"/>
          <w:numId w:val="0"/>
        </w:numPr>
        <w:ind w:left="720"/>
        <w:jc w:val="center"/>
        <w:rPr>
          <w:lang w:val="fr-FR"/>
        </w:rPr>
      </w:pPr>
      <w:r>
        <w:rPr>
          <w:lang w:val="fr-FR"/>
        </w:rPr>
        <w:t xml:space="preserve">                                                                                      </w:t>
      </w:r>
      <w:r>
        <w:rPr>
          <w:lang w:val="fr-FR"/>
        </w:rPr>
        <w:t xml:space="preserve">Le Coordonnateur </w:t>
      </w:r>
    </w:p>
    <w:p w14:paraId="25B42B4E" w14:textId="77777777" w:rsidR="00914297" w:rsidRDefault="00914297" w:rsidP="00914297">
      <w:pPr>
        <w:pStyle w:val="S1-Header2"/>
        <w:numPr>
          <w:ilvl w:val="0"/>
          <w:numId w:val="0"/>
        </w:numPr>
        <w:ind w:left="720"/>
        <w:jc w:val="center"/>
        <w:rPr>
          <w:lang w:val="fr-FR"/>
        </w:rPr>
      </w:pPr>
    </w:p>
    <w:p w14:paraId="45B7EE2E" w14:textId="77777777" w:rsidR="00914297" w:rsidRDefault="00914297" w:rsidP="00914297">
      <w:pPr>
        <w:pStyle w:val="S1-Header2"/>
        <w:numPr>
          <w:ilvl w:val="0"/>
          <w:numId w:val="0"/>
        </w:numPr>
        <w:ind w:left="720"/>
        <w:jc w:val="center"/>
        <w:rPr>
          <w:lang w:val="fr-FR"/>
        </w:rPr>
      </w:pPr>
    </w:p>
    <w:p w14:paraId="7C53B7DA" w14:textId="5E2A140C" w:rsidR="00914297" w:rsidRDefault="00914297" w:rsidP="00914297">
      <w:pPr>
        <w:pStyle w:val="S1-Header2"/>
        <w:numPr>
          <w:ilvl w:val="0"/>
          <w:numId w:val="0"/>
        </w:numPr>
        <w:ind w:left="720"/>
        <w:jc w:val="center"/>
        <w:rPr>
          <w:lang w:val="fr-FR"/>
        </w:rPr>
      </w:pPr>
      <w:r>
        <w:rPr>
          <w:lang w:val="fr-FR"/>
        </w:rPr>
        <w:t xml:space="preserve">                                                                                     Hamidou DIALLO</w:t>
      </w:r>
    </w:p>
    <w:p w14:paraId="4844EAC1" w14:textId="77777777" w:rsidR="00E80522" w:rsidRDefault="00E80522" w:rsidP="00914297">
      <w:pPr>
        <w:ind w:left="0" w:firstLine="0"/>
      </w:pPr>
    </w:p>
    <w:sectPr w:rsidR="00E80522">
      <w:headerReference w:type="default" r:id="rId15"/>
      <w:head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45E27" w14:textId="77777777" w:rsidR="00914297" w:rsidRDefault="00914297" w:rsidP="00914297">
      <w:pPr>
        <w:spacing w:after="0"/>
      </w:pPr>
      <w:r>
        <w:separator/>
      </w:r>
    </w:p>
  </w:endnote>
  <w:endnote w:type="continuationSeparator" w:id="0">
    <w:p w14:paraId="172F81F2" w14:textId="77777777" w:rsidR="00914297" w:rsidRDefault="00914297" w:rsidP="00914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22DA8" w14:textId="77777777" w:rsidR="00914297" w:rsidRDefault="00914297" w:rsidP="00914297">
      <w:pPr>
        <w:spacing w:after="0"/>
      </w:pPr>
      <w:r>
        <w:separator/>
      </w:r>
    </w:p>
  </w:footnote>
  <w:footnote w:type="continuationSeparator" w:id="0">
    <w:p w14:paraId="604C42A9" w14:textId="77777777" w:rsidR="00914297" w:rsidRDefault="00914297" w:rsidP="009142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1C48" w14:textId="61B702AA" w:rsidR="00914297" w:rsidRDefault="00914297">
    <w:pPr>
      <w:pStyle w:val="En-tte"/>
      <w:framePr w:wrap="auto" w:vAnchor="text" w:hAnchor="margin" w:xAlign="outside" w:y="1"/>
      <w:rPr>
        <w:rStyle w:val="Numrodepage"/>
      </w:rPr>
    </w:pPr>
  </w:p>
  <w:p w14:paraId="649DDAC8" w14:textId="0DCD1080" w:rsidR="00914297" w:rsidRPr="00914297" w:rsidRDefault="00914297" w:rsidP="00914297">
    <w:pPr>
      <w:pStyle w:val="En-tte"/>
      <w:pBdr>
        <w:bottom w:val="single" w:sz="4" w:space="1" w:color="auto"/>
      </w:pBdr>
      <w:tabs>
        <w:tab w:val="right" w:pos="9270"/>
      </w:tabs>
      <w:ind w:right="4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115881"/>
      <w:docPartObj>
        <w:docPartGallery w:val="Page Numbers (Top of Page)"/>
        <w:docPartUnique/>
      </w:docPartObj>
    </w:sdtPr>
    <w:sdtEndPr>
      <w:rPr>
        <w:noProof/>
      </w:rPr>
    </w:sdtEndPr>
    <w:sdtContent>
      <w:p w14:paraId="0A28AF59" w14:textId="77777777" w:rsidR="00914297" w:rsidRDefault="00914297" w:rsidP="00092AEE">
        <w:pPr>
          <w:pStyle w:val="En-tte"/>
          <w:pBdr>
            <w:bottom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5DC"/>
    <w:multiLevelType w:val="hybridMultilevel"/>
    <w:tmpl w:val="A3D4807E"/>
    <w:lvl w:ilvl="0" w:tplc="0114DA2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ED1FA5"/>
    <w:multiLevelType w:val="multilevel"/>
    <w:tmpl w:val="539CFE84"/>
    <w:lvl w:ilvl="0">
      <w:start w:val="1"/>
      <w:numFmt w:val="decimal"/>
      <w:pStyle w:val="S1-Header2"/>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0B23D8C"/>
    <w:multiLevelType w:val="hybridMultilevel"/>
    <w:tmpl w:val="4516F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60850"/>
    <w:multiLevelType w:val="hybridMultilevel"/>
    <w:tmpl w:val="3F6C5F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171866">
    <w:abstractNumId w:val="1"/>
  </w:num>
  <w:num w:numId="2" w16cid:durableId="651569383">
    <w:abstractNumId w:val="2"/>
  </w:num>
  <w:num w:numId="3" w16cid:durableId="552815000">
    <w:abstractNumId w:val="0"/>
  </w:num>
  <w:num w:numId="4" w16cid:durableId="1313368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97"/>
    <w:rsid w:val="00914297"/>
    <w:rsid w:val="00A3701F"/>
    <w:rsid w:val="00D57121"/>
    <w:rsid w:val="00E80522"/>
    <w:rsid w:val="00FC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0043F"/>
  <w15:chartTrackingRefBased/>
  <w15:docId w15:val="{8DDB436B-3CFD-466B-9F7C-4B3C53C7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297"/>
    <w:pPr>
      <w:spacing w:after="200" w:line="240" w:lineRule="auto"/>
      <w:ind w:left="576" w:hanging="576"/>
      <w:jc w:val="both"/>
    </w:pPr>
    <w:rPr>
      <w:rFonts w:ascii="Times New Roman" w:eastAsia="Times New Roman" w:hAnsi="Times New Roman" w:cs="Times New Roman"/>
      <w:kern w:val="0"/>
      <w:szCs w:val="20"/>
      <w:lang w:val="fr-FR" w:eastAsia="fr-FR"/>
      <w14:ligatures w14:val="none"/>
    </w:rPr>
  </w:style>
  <w:style w:type="paragraph" w:styleId="Titre1">
    <w:name w:val="heading 1"/>
    <w:basedOn w:val="Normal"/>
    <w:next w:val="Normal"/>
    <w:link w:val="Titre1Car"/>
    <w:uiPriority w:val="9"/>
    <w:qFormat/>
    <w:rsid w:val="009142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aliases w:val="Title Header2,Section-Title,Clause_No&amp;Name,Title 2,Title 2 Car Car"/>
    <w:basedOn w:val="Normal"/>
    <w:next w:val="Normal"/>
    <w:link w:val="Titre2Car"/>
    <w:unhideWhenUsed/>
    <w:qFormat/>
    <w:rsid w:val="009142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1429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1429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1429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1429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1429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1429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1429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4297"/>
    <w:rPr>
      <w:rFonts w:asciiTheme="majorHAnsi" w:eastAsiaTheme="majorEastAsia" w:hAnsiTheme="majorHAnsi" w:cstheme="majorBidi"/>
      <w:color w:val="0F4761" w:themeColor="accent1" w:themeShade="BF"/>
      <w:sz w:val="40"/>
      <w:szCs w:val="40"/>
    </w:rPr>
  </w:style>
  <w:style w:type="character" w:customStyle="1" w:styleId="Titre2Car">
    <w:name w:val="Titre 2 Car"/>
    <w:aliases w:val="Title Header2 Car,Section-Title Car,Clause_No&amp;Name Car,Title 2 Car,Title 2 Car Car Car"/>
    <w:basedOn w:val="Policepardfaut"/>
    <w:link w:val="Titre2"/>
    <w:rsid w:val="0091429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1429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1429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1429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1429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1429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1429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14297"/>
    <w:rPr>
      <w:rFonts w:eastAsiaTheme="majorEastAsia" w:cstheme="majorBidi"/>
      <w:color w:val="272727" w:themeColor="text1" w:themeTint="D8"/>
    </w:rPr>
  </w:style>
  <w:style w:type="paragraph" w:styleId="Titre">
    <w:name w:val="Title"/>
    <w:basedOn w:val="Normal"/>
    <w:next w:val="Normal"/>
    <w:link w:val="TitreCar"/>
    <w:qFormat/>
    <w:rsid w:val="0091429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429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1429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1429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14297"/>
    <w:pPr>
      <w:spacing w:before="160"/>
      <w:jc w:val="center"/>
    </w:pPr>
    <w:rPr>
      <w:i/>
      <w:iCs/>
      <w:color w:val="404040" w:themeColor="text1" w:themeTint="BF"/>
    </w:rPr>
  </w:style>
  <w:style w:type="character" w:customStyle="1" w:styleId="CitationCar">
    <w:name w:val="Citation Car"/>
    <w:basedOn w:val="Policepardfaut"/>
    <w:link w:val="Citation"/>
    <w:uiPriority w:val="29"/>
    <w:rsid w:val="00914297"/>
    <w:rPr>
      <w:i/>
      <w:iCs/>
      <w:color w:val="404040" w:themeColor="text1" w:themeTint="BF"/>
    </w:rPr>
  </w:style>
  <w:style w:type="paragraph" w:styleId="Paragraphedeliste">
    <w:name w:val="List Paragraph"/>
    <w:aliases w:val="Citation List,본문(내용),List Paragraph (numbered (a)),Colorful List - Accent 11,Colorful List - Accent 11CxSpLast,List Paragraph (numbered (a))CxSpLast,List Paragraph (numbered (a))CxSpLastCxSpLast,figure,Liste 1,Paragraphe 2,References"/>
    <w:basedOn w:val="Normal"/>
    <w:link w:val="ParagraphedelisteCar"/>
    <w:uiPriority w:val="34"/>
    <w:qFormat/>
    <w:rsid w:val="00914297"/>
    <w:pPr>
      <w:ind w:left="720"/>
      <w:contextualSpacing/>
    </w:pPr>
  </w:style>
  <w:style w:type="character" w:styleId="Accentuationintense">
    <w:name w:val="Intense Emphasis"/>
    <w:basedOn w:val="Policepardfaut"/>
    <w:uiPriority w:val="21"/>
    <w:qFormat/>
    <w:rsid w:val="00914297"/>
    <w:rPr>
      <w:i/>
      <w:iCs/>
      <w:color w:val="0F4761" w:themeColor="accent1" w:themeShade="BF"/>
    </w:rPr>
  </w:style>
  <w:style w:type="paragraph" w:styleId="Citationintense">
    <w:name w:val="Intense Quote"/>
    <w:basedOn w:val="Normal"/>
    <w:next w:val="Normal"/>
    <w:link w:val="CitationintenseCar"/>
    <w:uiPriority w:val="30"/>
    <w:qFormat/>
    <w:rsid w:val="009142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14297"/>
    <w:rPr>
      <w:i/>
      <w:iCs/>
      <w:color w:val="0F4761" w:themeColor="accent1" w:themeShade="BF"/>
    </w:rPr>
  </w:style>
  <w:style w:type="character" w:styleId="Rfrenceintense">
    <w:name w:val="Intense Reference"/>
    <w:basedOn w:val="Policepardfaut"/>
    <w:uiPriority w:val="32"/>
    <w:qFormat/>
    <w:rsid w:val="00914297"/>
    <w:rPr>
      <w:b/>
      <w:bCs/>
      <w:smallCaps/>
      <w:color w:val="0F4761" w:themeColor="accent1" w:themeShade="BF"/>
      <w:spacing w:val="5"/>
    </w:rPr>
  </w:style>
  <w:style w:type="paragraph" w:styleId="En-tte">
    <w:name w:val="header"/>
    <w:basedOn w:val="Normal"/>
    <w:link w:val="En-tteCar"/>
    <w:uiPriority w:val="99"/>
    <w:rsid w:val="00914297"/>
    <w:pPr>
      <w:jc w:val="left"/>
    </w:pPr>
    <w:rPr>
      <w:sz w:val="20"/>
    </w:rPr>
  </w:style>
  <w:style w:type="character" w:customStyle="1" w:styleId="En-tteCar">
    <w:name w:val="En-tête Car"/>
    <w:basedOn w:val="Policepardfaut"/>
    <w:link w:val="En-tte"/>
    <w:uiPriority w:val="99"/>
    <w:rsid w:val="00914297"/>
    <w:rPr>
      <w:rFonts w:ascii="Times New Roman" w:eastAsia="Times New Roman" w:hAnsi="Times New Roman" w:cs="Times New Roman"/>
      <w:kern w:val="0"/>
      <w:sz w:val="20"/>
      <w:szCs w:val="20"/>
      <w:lang w:val="fr-FR" w:eastAsia="fr-FR"/>
      <w14:ligatures w14:val="none"/>
    </w:rPr>
  </w:style>
  <w:style w:type="character" w:styleId="Numrodepage">
    <w:name w:val="page number"/>
    <w:basedOn w:val="Policepardfaut"/>
    <w:uiPriority w:val="99"/>
    <w:rsid w:val="00914297"/>
    <w:rPr>
      <w:rFonts w:cs="Times New Roman"/>
    </w:rPr>
  </w:style>
  <w:style w:type="character" w:styleId="Lienhypertexte">
    <w:name w:val="Hyperlink"/>
    <w:basedOn w:val="Policepardfaut"/>
    <w:uiPriority w:val="99"/>
    <w:rsid w:val="00914297"/>
    <w:rPr>
      <w:rFonts w:cs="Times New Roman"/>
      <w:color w:val="0000FF"/>
      <w:u w:val="single"/>
    </w:rPr>
  </w:style>
  <w:style w:type="paragraph" w:customStyle="1" w:styleId="BankNormal">
    <w:name w:val="BankNormal"/>
    <w:basedOn w:val="Normal"/>
    <w:rsid w:val="00914297"/>
    <w:pPr>
      <w:spacing w:after="240"/>
      <w:jc w:val="left"/>
    </w:pPr>
    <w:rPr>
      <w:lang w:val="en-US"/>
    </w:r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34"/>
    <w:qFormat/>
    <w:locked/>
    <w:rsid w:val="00914297"/>
  </w:style>
  <w:style w:type="paragraph" w:customStyle="1" w:styleId="S1-Header2">
    <w:name w:val="S1-Header2"/>
    <w:basedOn w:val="Normal"/>
    <w:link w:val="S1-Header2Char"/>
    <w:rsid w:val="00914297"/>
    <w:pPr>
      <w:numPr>
        <w:numId w:val="1"/>
      </w:numPr>
      <w:jc w:val="left"/>
    </w:pPr>
    <w:rPr>
      <w:b/>
      <w:szCs w:val="24"/>
      <w:lang w:val="en-US" w:eastAsia="en-US"/>
    </w:rPr>
  </w:style>
  <w:style w:type="character" w:customStyle="1" w:styleId="S1-Header2Char">
    <w:name w:val="S1-Header2 Char"/>
    <w:basedOn w:val="Policepardfaut"/>
    <w:link w:val="S1-Header2"/>
    <w:rsid w:val="00914297"/>
    <w:rPr>
      <w:rFonts w:ascii="Times New Roman" w:eastAsia="Times New Roman" w:hAnsi="Times New Roman" w:cs="Times New Roman"/>
      <w:b/>
      <w:kern w:val="0"/>
      <w:lang w:eastAsia="en-US"/>
      <w14:ligatures w14:val="none"/>
    </w:rPr>
  </w:style>
  <w:style w:type="paragraph" w:styleId="Pieddepage">
    <w:name w:val="footer"/>
    <w:basedOn w:val="Normal"/>
    <w:link w:val="PieddepageCar"/>
    <w:uiPriority w:val="99"/>
    <w:unhideWhenUsed/>
    <w:rsid w:val="00914297"/>
    <w:pPr>
      <w:tabs>
        <w:tab w:val="center" w:pos="4680"/>
        <w:tab w:val="right" w:pos="9360"/>
      </w:tabs>
      <w:spacing w:after="0"/>
    </w:pPr>
  </w:style>
  <w:style w:type="character" w:customStyle="1" w:styleId="PieddepageCar">
    <w:name w:val="Pied de page Car"/>
    <w:basedOn w:val="Policepardfaut"/>
    <w:link w:val="Pieddepage"/>
    <w:uiPriority w:val="99"/>
    <w:rsid w:val="00914297"/>
    <w:rPr>
      <w:rFonts w:ascii="Times New Roman" w:eastAsia="Times New Roman" w:hAnsi="Times New Roman" w:cs="Times New Roman"/>
      <w:kern w:val="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idoudiallo@magel.gov.gn" TargetMode="External"/><Relationship Id="rId13" Type="http://schemas.openxmlformats.org/officeDocument/2006/relationships/hyperlink" Target="mailto:pdacg@magel.gov.g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amidoudiallo@magel.gov.g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text.reverso.net/traduction/francais-anglais/des+b%C3%A9n%C3%A9ficiaires+effectif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ontext.reverso.net/traduction/francais-anglais/des+b%C3%A9n%C3%A9ficiaires+effectifs" TargetMode="External"/><Relationship Id="rId4" Type="http://schemas.openxmlformats.org/officeDocument/2006/relationships/webSettings" Target="webSettings.xml"/><Relationship Id="rId9" Type="http://schemas.openxmlformats.org/officeDocument/2006/relationships/hyperlink" Target="mailto:pdacg@magel.gov.gn" TargetMode="External"/><Relationship Id="rId14" Type="http://schemas.openxmlformats.org/officeDocument/2006/relationships/hyperlink" Target="mailto:procurement@pdacg.org.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Mamady Fofana</dc:creator>
  <cp:keywords/>
  <dc:description/>
  <cp:lastModifiedBy>Mamady Fofana</cp:lastModifiedBy>
  <cp:revision>1</cp:revision>
  <dcterms:created xsi:type="dcterms:W3CDTF">2024-09-19T20:25:00Z</dcterms:created>
  <dcterms:modified xsi:type="dcterms:W3CDTF">2024-09-19T20:31:00Z</dcterms:modified>
</cp:coreProperties>
</file>