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DDCD" w14:textId="284749CB" w:rsidR="003A5C8F" w:rsidRPr="00BC456E"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sidRPr="00BC456E">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9"/>
                                    <a:stretch>
                                      <a:fillRect/>
                                    </a:stretch>
                                  </pic:blipFill>
                                  <pic:spPr>
                                    <a:xfrm>
                                      <a:off x="0" y="0"/>
                                      <a:ext cx="727822" cy="639754"/>
                                    </a:xfrm>
                                    <a:prstGeom prst="rect">
                                      <a:avLst/>
                                    </a:prstGeom>
                                  </pic:spPr>
                                </pic:pic>
                              </a:graphicData>
                            </a:graphic>
                          </wp:inline>
                        </w:drawing>
                      </w:r>
                    </w:p>
                  </w:txbxContent>
                </v:textbox>
              </v:shape>
            </w:pict>
          </mc:Fallback>
        </mc:AlternateContent>
      </w:r>
      <w:r w:rsidRPr="00BC456E">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0"/>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1"/>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sidRPr="00BC456E">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Pr="00BC456E"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Pr="00BC456E"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Pr="00BC456E"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sidRPr="00BC456E">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0C87C"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Pr="00BC456E"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BC456E" w:rsidRDefault="002D7A45" w:rsidP="002D7A45">
      <w:pPr>
        <w:jc w:val="center"/>
        <w:rPr>
          <w:b/>
        </w:rPr>
      </w:pPr>
      <w:r w:rsidRPr="00BC456E">
        <w:rPr>
          <w:rFonts w:ascii="Bookman Old Style" w:hAnsi="Bookman Old Style"/>
          <w:caps/>
          <w:sz w:val="32"/>
          <w:szCs w:val="32"/>
        </w:rPr>
        <w:t>République de Guinée</w:t>
      </w:r>
    </w:p>
    <w:p w14:paraId="321907B0" w14:textId="77777777" w:rsidR="002D7A45" w:rsidRPr="00BC456E" w:rsidRDefault="002D7A45" w:rsidP="002D7A45">
      <w:pPr>
        <w:pStyle w:val="Sous-titre"/>
        <w:rPr>
          <w:rFonts w:ascii="Bookman Old Style" w:hAnsi="Bookman Old Style"/>
          <w:caps/>
          <w:sz w:val="20"/>
        </w:rPr>
      </w:pPr>
      <w:r w:rsidRPr="00BC456E">
        <w:rPr>
          <w:rFonts w:ascii="Bookman Old Style" w:hAnsi="Bookman Old Style"/>
          <w:caps/>
          <w:color w:val="FF0000"/>
          <w:sz w:val="20"/>
        </w:rPr>
        <w:t>Travail</w:t>
      </w:r>
      <w:r w:rsidRPr="00BC456E">
        <w:rPr>
          <w:rFonts w:ascii="Bookman Old Style" w:hAnsi="Bookman Old Style"/>
          <w:caps/>
          <w:sz w:val="20"/>
        </w:rPr>
        <w:t xml:space="preserve"> – </w:t>
      </w:r>
      <w:r w:rsidRPr="00BC456E">
        <w:rPr>
          <w:rFonts w:ascii="Bookman Old Style" w:hAnsi="Bookman Old Style"/>
          <w:caps/>
          <w:color w:val="FFC000"/>
          <w:sz w:val="20"/>
        </w:rPr>
        <w:t>Justice</w:t>
      </w:r>
      <w:r w:rsidRPr="00BC456E">
        <w:rPr>
          <w:rFonts w:ascii="Bookman Old Style" w:hAnsi="Bookman Old Style"/>
          <w:caps/>
          <w:sz w:val="20"/>
        </w:rPr>
        <w:t xml:space="preserve"> - </w:t>
      </w:r>
      <w:r w:rsidRPr="00BC456E">
        <w:rPr>
          <w:rFonts w:ascii="Bookman Old Style" w:hAnsi="Bookman Old Style"/>
          <w:caps/>
          <w:color w:val="00B050"/>
          <w:sz w:val="20"/>
        </w:rPr>
        <w:t>Solidarité</w:t>
      </w:r>
    </w:p>
    <w:p w14:paraId="73C3E551" w14:textId="20DEED46" w:rsidR="002D7A45" w:rsidRPr="00BC456E" w:rsidRDefault="002D7A45" w:rsidP="006D752D">
      <w:pPr>
        <w:pStyle w:val="Sous-titre"/>
        <w:rPr>
          <w:rFonts w:ascii="Bookman Old Style" w:hAnsi="Bookman Old Style"/>
          <w:caps/>
          <w:sz w:val="32"/>
          <w:szCs w:val="32"/>
        </w:rPr>
      </w:pPr>
      <w:r w:rsidRPr="00BC456E">
        <w:rPr>
          <w:rFonts w:ascii="Bookman Old Style" w:hAnsi="Bookman Old Style"/>
          <w:caps/>
          <w:sz w:val="32"/>
          <w:szCs w:val="32"/>
        </w:rPr>
        <w:t>----------------------</w:t>
      </w:r>
    </w:p>
    <w:p w14:paraId="66DC2327" w14:textId="77777777" w:rsidR="0026577F" w:rsidRPr="00BC456E" w:rsidRDefault="0026577F" w:rsidP="003376E4">
      <w:pPr>
        <w:spacing w:after="0" w:line="240" w:lineRule="auto"/>
        <w:jc w:val="both"/>
        <w:rPr>
          <w:rFonts w:ascii="Times New Roman" w:eastAsia="Times New Roman" w:hAnsi="Times New Roman" w:cs="Times New Roman"/>
          <w:b/>
          <w:sz w:val="24"/>
          <w:szCs w:val="24"/>
          <w:lang w:eastAsia="fr-FR"/>
        </w:rPr>
      </w:pPr>
    </w:p>
    <w:p w14:paraId="5ACD72E5" w14:textId="77777777" w:rsidR="00751E62" w:rsidRPr="00BC456E"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6E93A242" w14:textId="77777777" w:rsidR="00FD6679" w:rsidRPr="00BC456E" w:rsidRDefault="00FD6679" w:rsidP="00FD6679">
      <w:pPr>
        <w:pStyle w:val="Sous-titre"/>
        <w:rPr>
          <w:rFonts w:ascii="Bookman Old Style" w:hAnsi="Bookman Old Style"/>
          <w:b w:val="0"/>
          <w:caps/>
          <w:sz w:val="32"/>
          <w:szCs w:val="32"/>
        </w:rPr>
      </w:pPr>
      <w:r w:rsidRPr="00BC456E">
        <w:rPr>
          <w:rFonts w:ascii="Bookman Old Style" w:hAnsi="Bookman Old Style"/>
          <w:caps/>
          <w:sz w:val="32"/>
          <w:szCs w:val="32"/>
        </w:rPr>
        <w:t>MINISTERE DE L’AGRICULTURE et de l’ELEVAGE</w:t>
      </w:r>
    </w:p>
    <w:p w14:paraId="254406A5" w14:textId="04F1F561" w:rsidR="00171166" w:rsidRPr="00BC456E"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sidRPr="00BC456E">
        <w:rPr>
          <w:rFonts w:ascii="Bookman Old Style" w:hAnsi="Bookman Old Style"/>
          <w:caps/>
          <w:sz w:val="32"/>
          <w:szCs w:val="32"/>
        </w:rPr>
        <w:t xml:space="preserve">                     -------------------------</w:t>
      </w:r>
    </w:p>
    <w:p w14:paraId="3F3358AB" w14:textId="77777777" w:rsidR="00171166" w:rsidRPr="00BC456E" w:rsidRDefault="00171166" w:rsidP="00171166">
      <w:pPr>
        <w:spacing w:line="240" w:lineRule="auto"/>
        <w:jc w:val="center"/>
        <w:rPr>
          <w:rFonts w:ascii="Times New Roman" w:eastAsia="Times New Roman" w:hAnsi="Times New Roman" w:cs="Times New Roman"/>
          <w:b/>
          <w:sz w:val="28"/>
          <w:szCs w:val="24"/>
          <w:lang w:eastAsia="fr-FR"/>
        </w:rPr>
      </w:pPr>
      <w:r w:rsidRPr="00BC456E">
        <w:rPr>
          <w:rFonts w:ascii="Times New Roman" w:eastAsia="Times New Roman" w:hAnsi="Times New Roman" w:cs="Times New Roman"/>
          <w:b/>
          <w:sz w:val="28"/>
          <w:szCs w:val="24"/>
          <w:lang w:eastAsia="fr-FR"/>
        </w:rPr>
        <w:t>AVIS A MANIFESTATIONS D’INTERET</w:t>
      </w:r>
    </w:p>
    <w:p w14:paraId="2FDD6A2B" w14:textId="3ED4D650" w:rsidR="00171166" w:rsidRPr="00BC456E" w:rsidRDefault="00171166" w:rsidP="00171166">
      <w:pPr>
        <w:spacing w:line="240" w:lineRule="auto"/>
        <w:jc w:val="center"/>
        <w:rPr>
          <w:rFonts w:ascii="Times New Roman" w:eastAsia="Times New Roman" w:hAnsi="Times New Roman" w:cs="Times New Roman"/>
          <w:b/>
          <w:sz w:val="24"/>
          <w:szCs w:val="24"/>
          <w:lang w:eastAsia="fr-FR"/>
        </w:rPr>
      </w:pPr>
      <w:r w:rsidRPr="00BC456E">
        <w:rPr>
          <w:rFonts w:ascii="Times New Roman" w:eastAsia="Times New Roman" w:hAnsi="Times New Roman" w:cs="Times New Roman"/>
          <w:b/>
          <w:sz w:val="24"/>
          <w:szCs w:val="24"/>
          <w:lang w:eastAsia="fr-FR"/>
        </w:rPr>
        <w:t xml:space="preserve">SERVICES DE CONSULTANT </w:t>
      </w:r>
    </w:p>
    <w:p w14:paraId="2837CD28" w14:textId="1E48A6DC" w:rsidR="00A532BF" w:rsidRPr="00BC456E" w:rsidRDefault="00A532BF" w:rsidP="00A532BF">
      <w:pPr>
        <w:spacing w:line="240" w:lineRule="auto"/>
        <w:jc w:val="center"/>
        <w:rPr>
          <w:rFonts w:ascii="Times New Roman" w:eastAsia="Times New Roman" w:hAnsi="Times New Roman" w:cs="Times New Roman"/>
          <w:b/>
          <w:sz w:val="24"/>
          <w:szCs w:val="24"/>
          <w:lang w:eastAsia="fr-FR"/>
        </w:rPr>
      </w:pPr>
      <w:r w:rsidRPr="00BC456E">
        <w:rPr>
          <w:rFonts w:ascii="Times New Roman" w:eastAsia="Times New Roman" w:hAnsi="Times New Roman" w:cs="Times New Roman"/>
          <w:b/>
          <w:sz w:val="24"/>
          <w:szCs w:val="24"/>
          <w:lang w:eastAsia="fr-FR"/>
        </w:rPr>
        <w:t xml:space="preserve">N° : </w:t>
      </w:r>
      <w:r w:rsidR="000339DE" w:rsidRPr="00BC456E">
        <w:rPr>
          <w:rFonts w:ascii="Times New Roman" w:eastAsia="Times New Roman" w:hAnsi="Times New Roman" w:cs="Times New Roman"/>
          <w:b/>
          <w:sz w:val="24"/>
          <w:szCs w:val="24"/>
          <w:lang w:eastAsia="fr-FR"/>
        </w:rPr>
        <w:t>GN-PDACG-443067-CS-LCS</w:t>
      </w:r>
    </w:p>
    <w:p w14:paraId="7FC6448E" w14:textId="77777777" w:rsidR="00A532BF" w:rsidRPr="00BC456E" w:rsidRDefault="00A532BF" w:rsidP="00A532BF">
      <w:pPr>
        <w:pStyle w:val="Titre"/>
        <w:jc w:val="both"/>
        <w:rPr>
          <w:sz w:val="22"/>
          <w:szCs w:val="22"/>
        </w:rPr>
      </w:pPr>
      <w:r w:rsidRPr="00BC456E">
        <w:rPr>
          <w:sz w:val="24"/>
          <w:szCs w:val="24"/>
          <w:lang w:val="fr-FR"/>
        </w:rPr>
        <w:t>Pays :</w:t>
      </w:r>
      <w:r w:rsidRPr="00BC456E">
        <w:rPr>
          <w:sz w:val="22"/>
          <w:szCs w:val="22"/>
        </w:rPr>
        <w:t xml:space="preserve"> </w:t>
      </w:r>
      <w:r w:rsidRPr="00BC456E">
        <w:rPr>
          <w:sz w:val="22"/>
          <w:szCs w:val="22"/>
          <w:lang w:val="fr-FR"/>
        </w:rPr>
        <w:t xml:space="preserve">République </w:t>
      </w:r>
      <w:r w:rsidRPr="00BC456E">
        <w:rPr>
          <w:sz w:val="22"/>
          <w:szCs w:val="22"/>
        </w:rPr>
        <w:t>de Guinée</w:t>
      </w:r>
    </w:p>
    <w:p w14:paraId="6FC4A064" w14:textId="306247F3" w:rsidR="00171166" w:rsidRPr="00BC456E" w:rsidRDefault="00171166" w:rsidP="00171166">
      <w:pPr>
        <w:spacing w:line="240" w:lineRule="auto"/>
        <w:jc w:val="both"/>
        <w:rPr>
          <w:rFonts w:ascii="Times New Roman" w:eastAsia="Times New Roman" w:hAnsi="Times New Roman" w:cs="Times New Roman"/>
          <w:b/>
          <w:sz w:val="24"/>
          <w:szCs w:val="24"/>
          <w:lang w:eastAsia="fr-FR"/>
        </w:rPr>
      </w:pPr>
      <w:r w:rsidRPr="00BC456E">
        <w:rPr>
          <w:rFonts w:ascii="Times New Roman" w:eastAsia="Times New Roman" w:hAnsi="Times New Roman" w:cs="Times New Roman"/>
          <w:b/>
          <w:sz w:val="24"/>
          <w:szCs w:val="24"/>
          <w:lang w:eastAsia="fr-FR"/>
        </w:rPr>
        <w:t>Client :</w:t>
      </w:r>
      <w:r w:rsidRPr="00BC456E">
        <w:rPr>
          <w:rFonts w:ascii="Times New Roman" w:eastAsia="Times New Roman" w:hAnsi="Times New Roman" w:cs="Times New Roman"/>
          <w:sz w:val="24"/>
          <w:szCs w:val="24"/>
          <w:lang w:eastAsia="fr-FR"/>
        </w:rPr>
        <w:t xml:space="preserve"> </w:t>
      </w:r>
      <w:bookmarkStart w:id="0" w:name="_Hlk141200168"/>
      <w:r w:rsidRPr="00BC456E">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p>
    <w:p w14:paraId="654A1051" w14:textId="4604687F" w:rsidR="00171166" w:rsidRPr="00BC456E" w:rsidRDefault="00171166" w:rsidP="00171166">
      <w:pPr>
        <w:spacing w:line="240" w:lineRule="auto"/>
        <w:jc w:val="both"/>
        <w:rPr>
          <w:rFonts w:ascii="Times New Roman" w:eastAsia="Times New Roman" w:hAnsi="Times New Roman" w:cs="Times New Roman"/>
          <w:b/>
          <w:sz w:val="24"/>
          <w:szCs w:val="24"/>
          <w:lang w:eastAsia="fr-FR"/>
        </w:rPr>
      </w:pPr>
      <w:r w:rsidRPr="00BC456E">
        <w:rPr>
          <w:rFonts w:ascii="Times New Roman" w:eastAsia="Times New Roman" w:hAnsi="Times New Roman" w:cs="Times New Roman"/>
          <w:b/>
          <w:sz w:val="24"/>
          <w:szCs w:val="24"/>
          <w:lang w:eastAsia="fr-FR"/>
        </w:rPr>
        <w:t>Référence de l’accord de financement : IDA : Crédit N° : 6771-GN &amp; Don N° : D713-GN</w:t>
      </w:r>
    </w:p>
    <w:p w14:paraId="6560D428" w14:textId="7D1A5F12" w:rsidR="00171166" w:rsidRPr="00BC456E" w:rsidRDefault="00171166" w:rsidP="00171166">
      <w:pPr>
        <w:spacing w:line="240" w:lineRule="auto"/>
        <w:jc w:val="both"/>
        <w:rPr>
          <w:rFonts w:ascii="Times New Roman" w:eastAsia="Times New Roman" w:hAnsi="Times New Roman" w:cs="Times New Roman"/>
          <w:b/>
          <w:sz w:val="24"/>
          <w:szCs w:val="24"/>
          <w:lang w:eastAsia="fr-FR"/>
        </w:rPr>
      </w:pPr>
      <w:r w:rsidRPr="00BC456E">
        <w:rPr>
          <w:rFonts w:ascii="Times New Roman" w:eastAsia="Times New Roman" w:hAnsi="Times New Roman" w:cs="Times New Roman"/>
          <w:b/>
          <w:sz w:val="24"/>
          <w:szCs w:val="24"/>
          <w:lang w:eastAsia="fr-FR"/>
        </w:rPr>
        <w:t>N° d’Identification du Programme : P164184</w:t>
      </w:r>
    </w:p>
    <w:p w14:paraId="7E1CC870" w14:textId="4FD2F28D" w:rsidR="00A273D3" w:rsidRPr="00BC456E" w:rsidRDefault="00171166" w:rsidP="0014736C">
      <w:pPr>
        <w:shd w:val="clear" w:color="auto" w:fill="D9D9D9"/>
        <w:spacing w:after="0" w:line="240" w:lineRule="auto"/>
        <w:jc w:val="both"/>
        <w:rPr>
          <w:rFonts w:ascii="Times New Roman" w:eastAsia="Times New Roman" w:hAnsi="Times New Roman" w:cs="Times New Roman"/>
          <w:b/>
          <w:bCs/>
          <w:sz w:val="24"/>
          <w:szCs w:val="24"/>
          <w:lang w:eastAsia="fr-FR"/>
        </w:rPr>
      </w:pPr>
      <w:r w:rsidRPr="00BC456E">
        <w:rPr>
          <w:rFonts w:ascii="Times New Roman" w:eastAsia="Times New Roman" w:hAnsi="Times New Roman" w:cs="Times New Roman"/>
          <w:b/>
          <w:sz w:val="24"/>
          <w:szCs w:val="24"/>
          <w:lang w:eastAsia="fr-FR"/>
        </w:rPr>
        <w:t>Titre :</w:t>
      </w:r>
      <w:r w:rsidRPr="00BC456E">
        <w:rPr>
          <w:rFonts w:ascii="Times New Roman" w:eastAsia="Times New Roman" w:hAnsi="Times New Roman" w:cs="Times New Roman"/>
          <w:sz w:val="24"/>
          <w:szCs w:val="24"/>
          <w:lang w:eastAsia="fr-FR"/>
        </w:rPr>
        <w:t xml:space="preserve"> </w:t>
      </w:r>
      <w:r w:rsidRPr="00BC456E">
        <w:rPr>
          <w:rFonts w:ascii="Times New Roman" w:eastAsia="Times New Roman" w:hAnsi="Times New Roman" w:cs="Times New Roman"/>
          <w:b/>
          <w:iCs/>
          <w:sz w:val="24"/>
          <w:szCs w:val="24"/>
          <w:lang w:eastAsia="fr-FR"/>
        </w:rPr>
        <w:t>« </w:t>
      </w:r>
      <w:r w:rsidR="00B86056" w:rsidRPr="00BC456E">
        <w:rPr>
          <w:rFonts w:ascii="Times New Roman" w:eastAsia="Times New Roman" w:hAnsi="Times New Roman" w:cs="Times New Roman"/>
          <w:b/>
          <w:bCs/>
          <w:sz w:val="24"/>
          <w:szCs w:val="24"/>
          <w:lang w:eastAsia="fr-FR"/>
        </w:rPr>
        <w:t xml:space="preserve">Recrutement d'un </w:t>
      </w:r>
      <w:r w:rsidR="00181126" w:rsidRPr="00BC456E">
        <w:rPr>
          <w:rFonts w:ascii="Times New Roman" w:eastAsia="Times New Roman" w:hAnsi="Times New Roman" w:cs="Times New Roman"/>
          <w:b/>
          <w:bCs/>
          <w:sz w:val="24"/>
          <w:szCs w:val="24"/>
          <w:lang w:eastAsia="fr-FR"/>
        </w:rPr>
        <w:t>Auditeur externe des comptes du PDACG pour les exercices 2024, 2025 et l’Audit de clôture »</w:t>
      </w:r>
      <w:r w:rsidR="00530B6C" w:rsidRPr="00BC456E">
        <w:rPr>
          <w:rFonts w:ascii="Times New Roman" w:eastAsia="Times New Roman" w:hAnsi="Times New Roman" w:cs="Times New Roman"/>
          <w:b/>
          <w:bCs/>
          <w:sz w:val="24"/>
          <w:szCs w:val="24"/>
          <w:lang w:eastAsia="fr-FR"/>
        </w:rPr>
        <w:t>.</w:t>
      </w:r>
    </w:p>
    <w:p w14:paraId="61A1D010" w14:textId="75EB4848" w:rsidR="0014736C" w:rsidRPr="00BC456E" w:rsidRDefault="0014736C" w:rsidP="00171166">
      <w:pPr>
        <w:spacing w:before="240"/>
        <w:jc w:val="both"/>
        <w:rPr>
          <w:rFonts w:ascii="Times New Roman" w:eastAsia="Calibri" w:hAnsi="Times New Roman" w:cs="Times New Roman"/>
          <w:b/>
          <w:bCs/>
        </w:rPr>
      </w:pPr>
      <w:r w:rsidRPr="00BC456E">
        <w:rPr>
          <w:rFonts w:ascii="Times New Roman" w:eastAsia="Calibri" w:hAnsi="Times New Roman" w:cs="Times New Roman"/>
          <w:b/>
          <w:bCs/>
        </w:rPr>
        <w:t xml:space="preserve">DEBUT : </w:t>
      </w:r>
      <w:r w:rsidR="001425D6" w:rsidRPr="00BC456E">
        <w:rPr>
          <w:rFonts w:ascii="Times New Roman" w:eastAsia="Calibri" w:hAnsi="Times New Roman" w:cs="Times New Roman"/>
          <w:b/>
          <w:bCs/>
        </w:rPr>
        <w:t>1</w:t>
      </w:r>
      <w:r w:rsidR="008E7F7B" w:rsidRPr="00BC456E">
        <w:rPr>
          <w:rFonts w:ascii="Times New Roman" w:eastAsia="Calibri" w:hAnsi="Times New Roman" w:cs="Times New Roman"/>
          <w:b/>
          <w:bCs/>
        </w:rPr>
        <w:t>3</w:t>
      </w:r>
      <w:r w:rsidR="000D6BFD" w:rsidRPr="00BC456E">
        <w:rPr>
          <w:rFonts w:ascii="Times New Roman" w:eastAsia="Calibri" w:hAnsi="Times New Roman" w:cs="Times New Roman"/>
          <w:b/>
          <w:bCs/>
        </w:rPr>
        <w:t>/1</w:t>
      </w:r>
      <w:r w:rsidR="001425D6" w:rsidRPr="00BC456E">
        <w:rPr>
          <w:rFonts w:ascii="Times New Roman" w:eastAsia="Calibri" w:hAnsi="Times New Roman" w:cs="Times New Roman"/>
          <w:b/>
          <w:bCs/>
        </w:rPr>
        <w:t>2</w:t>
      </w:r>
      <w:r w:rsidRPr="00BC456E">
        <w:rPr>
          <w:rFonts w:ascii="Times New Roman" w:eastAsia="Calibri" w:hAnsi="Times New Roman" w:cs="Times New Roman"/>
          <w:b/>
          <w:bCs/>
        </w:rPr>
        <w:t xml:space="preserve">/2024                                                                                            FIN : </w:t>
      </w:r>
      <w:r w:rsidR="003F4AA8" w:rsidRPr="00BC456E">
        <w:rPr>
          <w:rFonts w:ascii="Times New Roman" w:eastAsia="Calibri" w:hAnsi="Times New Roman" w:cs="Times New Roman"/>
          <w:b/>
          <w:bCs/>
        </w:rPr>
        <w:t>30</w:t>
      </w:r>
      <w:r w:rsidR="00450678" w:rsidRPr="00BC456E">
        <w:rPr>
          <w:rFonts w:ascii="Times New Roman" w:eastAsia="Calibri" w:hAnsi="Times New Roman" w:cs="Times New Roman"/>
          <w:b/>
          <w:bCs/>
        </w:rPr>
        <w:t>/12</w:t>
      </w:r>
      <w:r w:rsidRPr="00BC456E">
        <w:rPr>
          <w:rFonts w:ascii="Times New Roman" w:eastAsia="Calibri" w:hAnsi="Times New Roman" w:cs="Times New Roman"/>
          <w:b/>
          <w:bCs/>
        </w:rPr>
        <w:t>/2024</w:t>
      </w:r>
    </w:p>
    <w:p w14:paraId="78E75D06" w14:textId="77777777" w:rsidR="007308D0" w:rsidRPr="00BC456E" w:rsidRDefault="007308D0" w:rsidP="00E564A5">
      <w:pPr>
        <w:spacing w:after="0" w:line="240" w:lineRule="auto"/>
        <w:jc w:val="both"/>
        <w:rPr>
          <w:rFonts w:ascii="Times New Roman" w:eastAsia="Calibri" w:hAnsi="Times New Roman" w:cs="Times New Roman"/>
          <w:sz w:val="24"/>
          <w:szCs w:val="24"/>
        </w:rPr>
      </w:pPr>
      <w:r w:rsidRPr="00BC456E">
        <w:rPr>
          <w:rFonts w:ascii="Times New Roman" w:eastAsia="Calibri" w:hAnsi="Times New Roman" w:cs="Times New Roman"/>
          <w:sz w:val="24"/>
          <w:szCs w:val="24"/>
        </w:rPr>
        <w:t xml:space="preserve">Le Projet de Développement de l’Agriculture Commerciale en Guinée (PDACG) s’inscrit dans l’exécution du Programme Accéléré de Sécurité Alimentaire et Nutritionnelle et de Développement Agricole Durable 2016-2020 (PASANDAD) qui est l’une des stratégies du Gouvernement de la Guinée pour la mise en œuvre du volet relatif à l’Agriculture contenu dans son Plan National de Développement Economique et Social (PNDES) élaboré et en exécution pour la période de 2016-2020. 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 </w:t>
      </w:r>
    </w:p>
    <w:p w14:paraId="5EE89575" w14:textId="77777777" w:rsidR="007308D0" w:rsidRPr="00BC456E" w:rsidRDefault="007308D0" w:rsidP="00E564A5">
      <w:pPr>
        <w:spacing w:after="0" w:line="240" w:lineRule="auto"/>
        <w:jc w:val="both"/>
        <w:rPr>
          <w:rFonts w:ascii="Times New Roman" w:eastAsia="Calibri" w:hAnsi="Times New Roman" w:cs="Times New Roman"/>
          <w:sz w:val="24"/>
          <w:szCs w:val="24"/>
        </w:rPr>
      </w:pPr>
    </w:p>
    <w:p w14:paraId="1BBA8119" w14:textId="77777777" w:rsidR="007308D0" w:rsidRPr="00BC456E" w:rsidRDefault="007308D0" w:rsidP="00E564A5">
      <w:pPr>
        <w:spacing w:after="0" w:line="240" w:lineRule="auto"/>
        <w:jc w:val="both"/>
        <w:rPr>
          <w:rFonts w:ascii="Times New Roman" w:eastAsia="Calibri" w:hAnsi="Times New Roman" w:cs="Times New Roman"/>
          <w:sz w:val="24"/>
          <w:szCs w:val="24"/>
        </w:rPr>
      </w:pPr>
      <w:r w:rsidRPr="00BC456E">
        <w:rPr>
          <w:rFonts w:ascii="Times New Roman" w:eastAsia="Calibri" w:hAnsi="Times New Roman" w:cs="Times New Roman"/>
          <w:sz w:val="24"/>
          <w:szCs w:val="24"/>
        </w:rPr>
        <w:t xml:space="preserve">L’approche du projet est fondée sur la transformation du secteur agroalimentaire en un secteur agricole commercial compétitif susceptible d’attirer des investissements privés pour développer en Guinée des chaînes de valeur agricoles en vue d’approvisionner les marchés à croissance rapide et créer des emplois et des opportunités économiques. Les principes d’intervention du projet sont essentiellement de : (i) tirer parti des infrastructures </w:t>
      </w:r>
      <w:r w:rsidRPr="00BC456E">
        <w:rPr>
          <w:rFonts w:ascii="Times New Roman" w:eastAsia="Calibri" w:hAnsi="Times New Roman" w:cs="Times New Roman"/>
          <w:sz w:val="24"/>
          <w:szCs w:val="24"/>
        </w:rPr>
        <w:lastRenderedPageBreak/>
        <w:t xml:space="preserve">de transport existantes le long des corridors Boké-Kamsar et Kindia-Conakry, (ii) concentrer le soutien initial du projet sur les chaînes de valeur à fort potentiel (fonio, fruits, viande rouge et volaille, noix de cajou) et (iii) répondre, grâce à une flexibilité, aux opportunités d’affaires pouvant contribuer à l’atteinte de l’objectif de développement du projet. </w:t>
      </w:r>
    </w:p>
    <w:p w14:paraId="5CF75C85" w14:textId="77777777" w:rsidR="007308D0" w:rsidRPr="00BC456E" w:rsidRDefault="007308D0" w:rsidP="00E564A5">
      <w:pPr>
        <w:spacing w:after="0" w:line="240" w:lineRule="auto"/>
        <w:jc w:val="both"/>
        <w:rPr>
          <w:rFonts w:ascii="Times New Roman" w:eastAsia="Calibri" w:hAnsi="Times New Roman" w:cs="Times New Roman"/>
          <w:sz w:val="24"/>
          <w:szCs w:val="24"/>
        </w:rPr>
      </w:pPr>
    </w:p>
    <w:p w14:paraId="1605263D" w14:textId="6D9B2B94" w:rsidR="007308D0" w:rsidRPr="00BC456E" w:rsidRDefault="007308D0" w:rsidP="00E564A5">
      <w:pPr>
        <w:spacing w:after="0" w:line="240" w:lineRule="auto"/>
        <w:jc w:val="both"/>
        <w:rPr>
          <w:rFonts w:ascii="Times New Roman" w:eastAsia="Calibri" w:hAnsi="Times New Roman" w:cs="Times New Roman"/>
          <w:sz w:val="24"/>
          <w:szCs w:val="24"/>
        </w:rPr>
      </w:pPr>
      <w:r w:rsidRPr="00BC456E">
        <w:rPr>
          <w:rFonts w:ascii="Times New Roman" w:eastAsia="Calibri" w:hAnsi="Times New Roman" w:cs="Times New Roman"/>
          <w:sz w:val="24"/>
          <w:szCs w:val="24"/>
        </w:rPr>
        <w:t>Le PDACG est financé par l’Association Internationale pour le Développement (IDA) pour un montant de cent (100) millions de dollars US et pour une durée d’exécution de cinq (5) ans. Le projet comporte les cinq (5) principales composantes résumées ci-après :</w:t>
      </w:r>
    </w:p>
    <w:p w14:paraId="5E98B478" w14:textId="77777777" w:rsidR="007308D0" w:rsidRPr="00BC456E" w:rsidRDefault="007308D0" w:rsidP="00E564A5">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b/>
          <w:sz w:val="24"/>
          <w:szCs w:val="24"/>
        </w:rPr>
      </w:pPr>
      <w:r w:rsidRPr="00BC456E">
        <w:rPr>
          <w:rFonts w:ascii="Times New Roman" w:eastAsia="Calibri" w:hAnsi="Times New Roman" w:cs="Times New Roman"/>
          <w:b/>
          <w:sz w:val="24"/>
          <w:szCs w:val="24"/>
        </w:rPr>
        <w:t>Composante n°1 : Amélioration de l’accès aux marchés dans les zones ciblées</w:t>
      </w:r>
    </w:p>
    <w:p w14:paraId="5C0AD734" w14:textId="24FC6364" w:rsidR="007308D0" w:rsidRPr="00BC456E" w:rsidRDefault="007308D0" w:rsidP="00E564A5">
      <w:pPr>
        <w:autoSpaceDE w:val="0"/>
        <w:autoSpaceDN w:val="0"/>
        <w:adjustRightInd w:val="0"/>
        <w:spacing w:after="0" w:line="240" w:lineRule="auto"/>
        <w:jc w:val="both"/>
        <w:rPr>
          <w:rFonts w:ascii="Times New Roman" w:eastAsia="Times New Roman" w:hAnsi="Times New Roman" w:cs="Times New Roman"/>
          <w:sz w:val="24"/>
          <w:szCs w:val="24"/>
          <w:lang w:eastAsia="fr-FR"/>
        </w:rPr>
      </w:pPr>
      <w:r w:rsidRPr="00BC456E">
        <w:rPr>
          <w:rFonts w:ascii="Times New Roman" w:eastAsia="Calibri" w:hAnsi="Times New Roman" w:cs="Times New Roman"/>
          <w:sz w:val="24"/>
          <w:szCs w:val="24"/>
          <w:lang w:eastAsia="fr-FR"/>
        </w:rPr>
        <w:t>Cette composante financera les infrastructures publiques afin d’améliorer la connectivité et la logistique entre les producteurs et les marchés dans les corridors prioritaires. Seront financés : (i) les travaux réhabilitation de pistes rurales prioritaires, (ii) les travaux de construction de marchés de gros, de centres de transit et de vente, (iii) l’achèvement des travaux de construction de l’abattoir de Conakry et la construction d’abattoirs à Boké, Kamsar et Kindia, (iv) les travaux et fourniture de matériels et équipements nécessaires pour la mise en place de plateformes logistiques mixtes (groupage/stockage, marché de gros, plateforme industrielle) et (v) l’aménagement d’un quai dédié aux exportations agricoles sur le port de Kamsar</w:t>
      </w:r>
      <w:r w:rsidRPr="00BC456E">
        <w:rPr>
          <w:rFonts w:ascii="Times New Roman" w:eastAsia="Times New Roman" w:hAnsi="Times New Roman" w:cs="Times New Roman"/>
          <w:sz w:val="24"/>
          <w:szCs w:val="24"/>
          <w:lang w:eastAsia="fr-FR"/>
        </w:rPr>
        <w:t>.</w:t>
      </w:r>
    </w:p>
    <w:p w14:paraId="26EED7EF" w14:textId="77777777" w:rsidR="007308D0" w:rsidRPr="00BC456E" w:rsidRDefault="007308D0" w:rsidP="00E564A5">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b/>
          <w:sz w:val="24"/>
          <w:szCs w:val="24"/>
        </w:rPr>
      </w:pPr>
      <w:r w:rsidRPr="00BC456E">
        <w:rPr>
          <w:rFonts w:ascii="Times New Roman" w:eastAsia="Calibri" w:hAnsi="Times New Roman" w:cs="Times New Roman"/>
          <w:b/>
          <w:sz w:val="24"/>
          <w:szCs w:val="24"/>
        </w:rPr>
        <w:t>Composante n°2 : Soutien à l’investissement privé</w:t>
      </w:r>
    </w:p>
    <w:p w14:paraId="0132C063" w14:textId="74F18637" w:rsidR="007308D0" w:rsidRPr="00BC456E" w:rsidRDefault="007308D0" w:rsidP="00E564A5">
      <w:pPr>
        <w:autoSpaceDE w:val="0"/>
        <w:autoSpaceDN w:val="0"/>
        <w:adjustRightInd w:val="0"/>
        <w:spacing w:after="0" w:line="240" w:lineRule="auto"/>
        <w:jc w:val="both"/>
        <w:rPr>
          <w:rFonts w:ascii="Times New Roman" w:eastAsia="Calibri" w:hAnsi="Times New Roman" w:cs="Times New Roman"/>
          <w:sz w:val="24"/>
          <w:szCs w:val="24"/>
          <w:lang w:eastAsia="fr-FR"/>
        </w:rPr>
      </w:pPr>
      <w:r w:rsidRPr="00BC456E">
        <w:rPr>
          <w:rFonts w:ascii="Times New Roman" w:eastAsia="Calibri" w:hAnsi="Times New Roman" w:cs="Times New Roman"/>
          <w:sz w:val="24"/>
          <w:szCs w:val="24"/>
          <w:lang w:eastAsia="fr-FR"/>
        </w:rPr>
        <w:t>L’objectif est de favoriser l’investissement privé dans l’agriculture commerciale et de stimuler le développement de chaînes de valeur. La composante financera, pour les investisseurs et exploitants potentiels sélectionnés compétitivement, des services de consultants nécessaires au développement de leurs affaires. La composante financera entre autres la facilitation de partenariats d’affaires entre les investisseurs potentiels et les producteurs, l’examen des propositions de partenariat d’affaires de potentiels investisseurs, l’identification de mesures spécifiques pour renforcer les impacts de ces propositions sur l’inclusion et le développement, la formation et l’assistance technique adaptées aux besoins des investisseurs, et la préparation de plans de développement fondés sur l’agriculture. La composante finance donc la formation, l’assistance technique et le soutien aux coûts d’investissement des sous-projets qui auront été sélectionnés.</w:t>
      </w:r>
    </w:p>
    <w:p w14:paraId="130B43C0" w14:textId="77777777" w:rsidR="007308D0" w:rsidRPr="00BC456E" w:rsidRDefault="007308D0" w:rsidP="00E564A5">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b/>
          <w:sz w:val="24"/>
          <w:szCs w:val="24"/>
        </w:rPr>
      </w:pPr>
      <w:r w:rsidRPr="00BC456E">
        <w:rPr>
          <w:rFonts w:ascii="Times New Roman" w:eastAsia="Calibri" w:hAnsi="Times New Roman" w:cs="Times New Roman"/>
          <w:b/>
          <w:sz w:val="24"/>
          <w:szCs w:val="24"/>
        </w:rPr>
        <w:t xml:space="preserve">Composante n°3 : Etablissement d’un environnement propice à l’agriculture commerciale </w:t>
      </w:r>
    </w:p>
    <w:p w14:paraId="62513F68" w14:textId="2FD1F8D1" w:rsidR="007308D0" w:rsidRPr="00BC456E" w:rsidRDefault="007308D0" w:rsidP="00E564A5">
      <w:pPr>
        <w:autoSpaceDE w:val="0"/>
        <w:autoSpaceDN w:val="0"/>
        <w:adjustRightInd w:val="0"/>
        <w:spacing w:after="0" w:line="240" w:lineRule="auto"/>
        <w:jc w:val="both"/>
        <w:rPr>
          <w:rFonts w:ascii="Times New Roman" w:eastAsia="Calibri" w:hAnsi="Times New Roman" w:cs="Times New Roman"/>
          <w:sz w:val="24"/>
          <w:szCs w:val="24"/>
          <w:lang w:eastAsia="fr-FR"/>
        </w:rPr>
      </w:pPr>
      <w:r w:rsidRPr="00BC456E">
        <w:rPr>
          <w:rFonts w:ascii="Times New Roman" w:eastAsia="Calibri" w:hAnsi="Times New Roman" w:cs="Times New Roman"/>
          <w:sz w:val="24"/>
          <w:szCs w:val="24"/>
          <w:lang w:eastAsia="fr-FR"/>
        </w:rPr>
        <w:t xml:space="preserve">Elle vise à renforcer : (i) les capacités des institutions clés pour faciliter les investissements privés et l’émergence de chaînes de valeur agricoles efficaces, (ii) la coordination le long des chaînes de valeur ciblées et (iii) la qualité et les systèmes de gestion sanitaire et phytosanitaire. La composante apporte des appuis à l’Agence de Promotion des Investissements Privé (APIP), à l’Agence Guinéenne de Promotion des Exportations (AGUIPEX) et au Guichet unique d’enregistrement des terres et permis de construire de Conakry et de ses deux bureaux à créer à Boké et à Kindia. La composante finance la mise en place et l’exploitation d’un système national de gestion de l’information sur les terres agricoles, y compris un inventaire complet et détaillé des zones foncières contrôlées par l’Etat et les sociétés minières qui pourraient être pour les investissements agricoles et agroalimentaires. </w:t>
      </w:r>
    </w:p>
    <w:p w14:paraId="61FA5F8B" w14:textId="77777777" w:rsidR="007308D0" w:rsidRPr="00BC456E" w:rsidRDefault="007308D0" w:rsidP="00E564A5">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b/>
          <w:sz w:val="24"/>
          <w:szCs w:val="24"/>
        </w:rPr>
      </w:pPr>
      <w:r w:rsidRPr="00BC456E">
        <w:rPr>
          <w:rFonts w:ascii="Times New Roman" w:eastAsia="Calibri" w:hAnsi="Times New Roman" w:cs="Times New Roman"/>
          <w:b/>
          <w:sz w:val="24"/>
          <w:szCs w:val="24"/>
        </w:rPr>
        <w:t xml:space="preserve">Composante n°4 : Intervention d’urgence </w:t>
      </w:r>
    </w:p>
    <w:p w14:paraId="2070B8EC" w14:textId="0E9F51BF" w:rsidR="007308D0" w:rsidRPr="00BC456E" w:rsidRDefault="007308D0" w:rsidP="00E564A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C456E">
        <w:rPr>
          <w:rFonts w:ascii="Times New Roman" w:eastAsia="Calibri" w:hAnsi="Times New Roman" w:cs="Times New Roman"/>
          <w:sz w:val="24"/>
          <w:szCs w:val="24"/>
        </w:rPr>
        <w:t xml:space="preserve">Cette composante constitue un fonds d’urgence qui peut être débloqué en cas de catastrophes naturelles donnant lieu à une situation d’état d’urgence officiel, ou à une </w:t>
      </w:r>
      <w:r w:rsidRPr="00BC456E">
        <w:rPr>
          <w:rFonts w:ascii="Times New Roman" w:eastAsia="Calibri" w:hAnsi="Times New Roman" w:cs="Times New Roman"/>
          <w:sz w:val="24"/>
          <w:szCs w:val="24"/>
        </w:rPr>
        <w:lastRenderedPageBreak/>
        <w:t>demande du Gouvernement. La composante finance les dépenses d’intervention rapide afin de répondre aux besoins d’urgence.</w:t>
      </w:r>
    </w:p>
    <w:p w14:paraId="1F72E6BD" w14:textId="77777777" w:rsidR="007308D0" w:rsidRPr="00BC456E" w:rsidRDefault="007308D0" w:rsidP="00E564A5">
      <w:pPr>
        <w:widowControl w:val="0"/>
        <w:numPr>
          <w:ilvl w:val="0"/>
          <w:numId w:val="27"/>
        </w:numPr>
        <w:autoSpaceDE w:val="0"/>
        <w:autoSpaceDN w:val="0"/>
        <w:adjustRightInd w:val="0"/>
        <w:spacing w:after="0" w:line="240" w:lineRule="auto"/>
        <w:ind w:left="0" w:firstLine="0"/>
        <w:jc w:val="both"/>
        <w:rPr>
          <w:rFonts w:ascii="Times New Roman" w:eastAsia="Calibri" w:hAnsi="Times New Roman" w:cs="Times New Roman"/>
          <w:b/>
          <w:sz w:val="24"/>
          <w:szCs w:val="24"/>
        </w:rPr>
      </w:pPr>
      <w:r w:rsidRPr="00BC456E">
        <w:rPr>
          <w:rFonts w:ascii="Times New Roman" w:eastAsia="Calibri" w:hAnsi="Times New Roman" w:cs="Times New Roman"/>
          <w:b/>
          <w:sz w:val="24"/>
          <w:szCs w:val="24"/>
        </w:rPr>
        <w:t>Composante n°5 : Coordination et gestion du projet</w:t>
      </w:r>
    </w:p>
    <w:p w14:paraId="160AB28F" w14:textId="77777777" w:rsidR="007308D0" w:rsidRPr="00BC456E" w:rsidRDefault="007308D0" w:rsidP="00E564A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C456E">
        <w:rPr>
          <w:rFonts w:ascii="Times New Roman" w:eastAsia="Calibri" w:hAnsi="Times New Roman" w:cs="Times New Roman"/>
          <w:sz w:val="24"/>
          <w:szCs w:val="24"/>
        </w:rPr>
        <w:t>La composante finance la création d’une Unité de Coordination et Exécution du Projet (UCEP) pleinement opérationnelle au sein du Ministère de l’Agriculture. Elle couvre les coûts du personnel, de fonctionnement, de supervision et d’audit du projet. Elle finance également les activités de renforcement de capacités et une Assistance Technique à la mise en œuvre du projet.</w:t>
      </w:r>
    </w:p>
    <w:p w14:paraId="7FFDAA9A" w14:textId="77777777" w:rsidR="007308D0" w:rsidRPr="00BC456E" w:rsidRDefault="007308D0" w:rsidP="00E564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en-GB"/>
        </w:rPr>
      </w:pPr>
    </w:p>
    <w:p w14:paraId="4186E416" w14:textId="121604B8" w:rsidR="007308D0" w:rsidRPr="00BC456E" w:rsidRDefault="007308D0" w:rsidP="00E564A5">
      <w:pPr>
        <w:tabs>
          <w:tab w:val="left" w:pos="2552"/>
        </w:tabs>
        <w:spacing w:after="0" w:line="240" w:lineRule="auto"/>
        <w:jc w:val="both"/>
        <w:rPr>
          <w:rFonts w:ascii="Times New Roman" w:eastAsia="Arial Unicode MS" w:hAnsi="Times New Roman" w:cs="Times New Roman"/>
          <w:sz w:val="24"/>
          <w:szCs w:val="24"/>
          <w:u w:color="000000"/>
          <w:bdr w:val="nil"/>
          <w:lang w:eastAsia="en-GB"/>
        </w:rPr>
      </w:pPr>
      <w:r w:rsidRPr="00BC456E">
        <w:rPr>
          <w:rFonts w:ascii="Times New Roman" w:eastAsia="Arial Unicode MS" w:hAnsi="Times New Roman" w:cs="Times New Roman"/>
          <w:sz w:val="24"/>
          <w:szCs w:val="24"/>
          <w:u w:color="000000"/>
          <w:bdr w:val="nil"/>
          <w:lang w:eastAsia="en-GB"/>
        </w:rPr>
        <w:t xml:space="preserve">L’Unité de Coordination et d’Exécution du Projet (UCEP) est chargée de la gestion quotidienne de la mise en œuvre technique des activités, de la passation des marchés et la gestion financière, du suivi et évaluation, y compris les aspects de décaissement au titre du Projet. </w:t>
      </w:r>
    </w:p>
    <w:p w14:paraId="6EE8E97F" w14:textId="77777777" w:rsidR="007308D0" w:rsidRPr="00BC456E" w:rsidRDefault="007308D0" w:rsidP="00E564A5">
      <w:pPr>
        <w:tabs>
          <w:tab w:val="left" w:pos="2552"/>
        </w:tabs>
        <w:spacing w:after="0" w:line="240" w:lineRule="auto"/>
        <w:jc w:val="both"/>
        <w:rPr>
          <w:rFonts w:ascii="Times New Roman" w:eastAsia="Arial Unicode MS" w:hAnsi="Times New Roman" w:cs="Times New Roman"/>
          <w:sz w:val="24"/>
          <w:szCs w:val="24"/>
          <w:u w:color="000000"/>
          <w:bdr w:val="nil"/>
          <w:lang w:eastAsia="en-GB"/>
        </w:rPr>
      </w:pPr>
    </w:p>
    <w:p w14:paraId="1E52C9F3" w14:textId="28A3D15E" w:rsidR="001E7BD1" w:rsidRPr="00BC456E" w:rsidRDefault="00423712" w:rsidP="006529C4">
      <w:pPr>
        <w:jc w:val="both"/>
        <w:rPr>
          <w:rFonts w:ascii="Times New Roman" w:hAnsi="Times New Roman" w:cs="Times New Roman"/>
          <w:b/>
          <w:spacing w:val="-2"/>
          <w:sz w:val="24"/>
          <w:szCs w:val="24"/>
        </w:rPr>
      </w:pPr>
      <w:r w:rsidRPr="00BC456E">
        <w:rPr>
          <w:rFonts w:ascii="Times New Roman" w:eastAsia="Times New Roman" w:hAnsi="Times New Roman" w:cs="Times New Roman"/>
          <w:sz w:val="24"/>
          <w:szCs w:val="24"/>
        </w:rPr>
        <w:t>C’est ainsi que l</w:t>
      </w:r>
      <w:r w:rsidR="007308D0" w:rsidRPr="00BC456E">
        <w:rPr>
          <w:rFonts w:ascii="Times New Roman" w:hAnsi="Times New Roman" w:cs="Times New Roman"/>
          <w:sz w:val="24"/>
          <w:szCs w:val="24"/>
        </w:rPr>
        <w:t>e gouvernement entend utiliser une partie des fonds pour recruter les services d'un cabinet pour auditer les comptes du projet pour les exercices 2024, 2025 et 2026 (audit de clôture).</w:t>
      </w:r>
    </w:p>
    <w:p w14:paraId="283DEB32" w14:textId="02FC2637" w:rsidR="006529C4" w:rsidRPr="00BC456E" w:rsidRDefault="006529C4" w:rsidP="006529C4">
      <w:pPr>
        <w:jc w:val="both"/>
        <w:rPr>
          <w:rFonts w:ascii="Times New Roman" w:eastAsia="Times New Roman" w:hAnsi="Times New Roman" w:cs="Times New Roman"/>
          <w:spacing w:val="-2"/>
          <w:sz w:val="24"/>
          <w:szCs w:val="24"/>
          <w:lang w:eastAsia="fr-FR"/>
        </w:rPr>
      </w:pPr>
      <w:r w:rsidRPr="00BC456E">
        <w:rPr>
          <w:rFonts w:ascii="Times New Roman" w:eastAsia="Times New Roman" w:hAnsi="Times New Roman" w:cs="Times New Roman"/>
          <w:spacing w:val="-2"/>
          <w:sz w:val="24"/>
          <w:szCs w:val="24"/>
          <w:lang w:eastAsia="fr-FR"/>
        </w:rPr>
        <w:t xml:space="preserve">Le Ministère de L’Agriculture et de L’Elevage, représenté par le Projet de Développement de l’Agriculture Commerciale en Guinée (PDACG) </w:t>
      </w:r>
      <w:r w:rsidRPr="00BC456E">
        <w:rPr>
          <w:rFonts w:ascii="Times New Roman" w:eastAsia="Times New Roman" w:hAnsi="Times New Roman" w:cs="Times New Roman"/>
          <w:sz w:val="24"/>
          <w:szCs w:val="24"/>
          <w:lang w:eastAsia="fr-FR"/>
        </w:rPr>
        <w:t xml:space="preserve">invite </w:t>
      </w:r>
      <w:r w:rsidRPr="00BC456E">
        <w:rPr>
          <w:rFonts w:ascii="Times New Roman" w:eastAsia="Times New Roman" w:hAnsi="Times New Roman" w:cs="Times New Roman"/>
          <w:color w:val="333333"/>
          <w:sz w:val="24"/>
          <w:szCs w:val="24"/>
        </w:rPr>
        <w:t xml:space="preserve">les firmes de consultants (« Consultants ») admissibles à manifester leur intérêt à fournir les </w:t>
      </w:r>
      <w:r w:rsidR="000F1232" w:rsidRPr="00BC456E">
        <w:rPr>
          <w:rFonts w:ascii="Times New Roman" w:eastAsia="Times New Roman" w:hAnsi="Times New Roman" w:cs="Times New Roman"/>
          <w:color w:val="333333"/>
          <w:sz w:val="24"/>
          <w:szCs w:val="24"/>
        </w:rPr>
        <w:t>services</w:t>
      </w:r>
      <w:r w:rsidR="000F1232" w:rsidRPr="00BC456E">
        <w:rPr>
          <w:rFonts w:ascii="Times New Roman" w:eastAsia="Times New Roman" w:hAnsi="Times New Roman" w:cs="Times New Roman"/>
          <w:sz w:val="24"/>
          <w:szCs w:val="24"/>
          <w:lang w:eastAsia="fr-FR"/>
        </w:rPr>
        <w:t>.</w:t>
      </w:r>
      <w:r w:rsidR="000F1232" w:rsidRPr="00BC456E">
        <w:rPr>
          <w:rFonts w:ascii="Times New Roman" w:eastAsia="Times New Roman" w:hAnsi="Times New Roman" w:cs="Times New Roman"/>
          <w:spacing w:val="-2"/>
          <w:sz w:val="24"/>
          <w:szCs w:val="24"/>
          <w:lang w:eastAsia="fr-FR"/>
        </w:rPr>
        <w:t xml:space="preserve"> Les</w:t>
      </w:r>
      <w:r w:rsidRPr="00BC456E">
        <w:rPr>
          <w:rFonts w:ascii="Times New Roman" w:eastAsia="Times New Roman" w:hAnsi="Times New Roman" w:cs="Times New Roman"/>
          <w:spacing w:val="-2"/>
          <w:sz w:val="24"/>
          <w:szCs w:val="24"/>
          <w:lang w:eastAsia="fr-FR"/>
        </w:rPr>
        <w:t xml:space="preserve"> consultants intéressés doivent </w:t>
      </w:r>
      <w:r w:rsidR="008B02B9" w:rsidRPr="00BC456E">
        <w:rPr>
          <w:rFonts w:ascii="Times New Roman" w:eastAsia="Times New Roman" w:hAnsi="Times New Roman" w:cs="Times New Roman"/>
          <w:spacing w:val="-2"/>
          <w:sz w:val="24"/>
          <w:szCs w:val="24"/>
          <w:lang w:eastAsia="fr-FR"/>
        </w:rPr>
        <w:t>fournir</w:t>
      </w:r>
      <w:r w:rsidR="008B02B9" w:rsidRPr="00BC456E">
        <w:rPr>
          <w:rFonts w:ascii="Times New Roman" w:eastAsia="Times New Roman" w:hAnsi="Times New Roman" w:cs="Times New Roman"/>
          <w:spacing w:val="-2"/>
          <w:lang w:eastAsia="fr-FR"/>
        </w:rPr>
        <w:t xml:space="preserve"> </w:t>
      </w:r>
      <w:r w:rsidRPr="00BC456E">
        <w:rPr>
          <w:rFonts w:ascii="Times New Roman" w:eastAsia="Times New Roman" w:hAnsi="Times New Roman" w:cs="Times New Roman"/>
          <w:spacing w:val="-2"/>
          <w:sz w:val="24"/>
          <w:szCs w:val="24"/>
          <w:lang w:eastAsia="fr-FR"/>
        </w:rPr>
        <w:t xml:space="preserve">en </w:t>
      </w:r>
      <w:r w:rsidRPr="00BC456E">
        <w:rPr>
          <w:rFonts w:ascii="Times New Roman" w:eastAsia="Times New Roman" w:hAnsi="Times New Roman" w:cs="Times New Roman"/>
          <w:b/>
          <w:bCs/>
          <w:spacing w:val="-2"/>
          <w:sz w:val="24"/>
          <w:szCs w:val="24"/>
          <w:lang w:eastAsia="fr-FR"/>
        </w:rPr>
        <w:t>langue française</w:t>
      </w:r>
      <w:r w:rsidRPr="00BC456E">
        <w:rPr>
          <w:rFonts w:ascii="Times New Roman" w:eastAsia="Times New Roman" w:hAnsi="Times New Roman" w:cs="Times New Roman"/>
          <w:spacing w:val="-2"/>
          <w:sz w:val="24"/>
          <w:szCs w:val="24"/>
          <w:lang w:eastAsia="fr-FR"/>
        </w:rPr>
        <w:t xml:space="preserve"> les informations</w:t>
      </w:r>
      <w:r w:rsidR="008B02B9" w:rsidRPr="00BC456E">
        <w:rPr>
          <w:rFonts w:ascii="Times New Roman" w:eastAsia="Times New Roman" w:hAnsi="Times New Roman" w:cs="Times New Roman"/>
          <w:spacing w:val="-2"/>
          <w:sz w:val="24"/>
          <w:szCs w:val="24"/>
          <w:lang w:eastAsia="fr-FR"/>
        </w:rPr>
        <w:t xml:space="preserve"> </w:t>
      </w:r>
      <w:r w:rsidR="008B02B9" w:rsidRPr="00BC456E">
        <w:rPr>
          <w:rFonts w:ascii="Times New Roman" w:eastAsia="Times New Roman" w:hAnsi="Times New Roman" w:cs="Times New Roman"/>
          <w:color w:val="333333"/>
          <w:sz w:val="24"/>
          <w:szCs w:val="24"/>
        </w:rPr>
        <w:t>démontrant qu’ils possèdent les qualifications requises et une expérience pertinente pour l’exécution des Services.</w:t>
      </w:r>
      <w:r w:rsidRPr="00BC456E">
        <w:rPr>
          <w:rFonts w:ascii="Times New Roman" w:eastAsia="Times New Roman" w:hAnsi="Times New Roman" w:cs="Times New Roman"/>
          <w:spacing w:val="-2"/>
          <w:sz w:val="24"/>
          <w:szCs w:val="24"/>
          <w:lang w:eastAsia="fr-FR"/>
        </w:rPr>
        <w:t xml:space="preserve"> </w:t>
      </w:r>
    </w:p>
    <w:p w14:paraId="0FFFC92C" w14:textId="77777777" w:rsidR="00C84125" w:rsidRPr="00BC456E" w:rsidRDefault="00C84125" w:rsidP="00C84125">
      <w:pPr>
        <w:shd w:val="clear" w:color="auto" w:fill="FFFFFF"/>
        <w:spacing w:after="150" w:line="240" w:lineRule="auto"/>
        <w:jc w:val="both"/>
        <w:rPr>
          <w:rFonts w:ascii="Times New Roman" w:eastAsia="Times New Roman" w:hAnsi="Times New Roman" w:cs="Times New Roman"/>
          <w:color w:val="333333"/>
          <w:sz w:val="24"/>
          <w:szCs w:val="24"/>
        </w:rPr>
      </w:pPr>
      <w:r w:rsidRPr="00BC456E">
        <w:rPr>
          <w:rFonts w:ascii="Times New Roman" w:eastAsia="Times New Roman" w:hAnsi="Times New Roman" w:cs="Times New Roman"/>
          <w:color w:val="333333"/>
          <w:sz w:val="24"/>
          <w:szCs w:val="24"/>
        </w:rPr>
        <w:t>Les critères pour l’établissement de la liste restreinte sont :</w:t>
      </w:r>
    </w:p>
    <w:p w14:paraId="0206C777" w14:textId="02683679" w:rsidR="00C84125" w:rsidRPr="00BC456E" w:rsidRDefault="00562DBF" w:rsidP="001F25B4">
      <w:pPr>
        <w:numPr>
          <w:ilvl w:val="0"/>
          <w:numId w:val="21"/>
        </w:numPr>
        <w:tabs>
          <w:tab w:val="left" w:pos="4185"/>
        </w:tabs>
        <w:spacing w:after="0" w:line="240" w:lineRule="auto"/>
        <w:contextualSpacing/>
        <w:jc w:val="both"/>
        <w:rPr>
          <w:rFonts w:ascii="Times New Roman" w:eastAsia="Times New Roman" w:hAnsi="Times New Roman" w:cs="Times New Roman"/>
          <w:b/>
          <w:sz w:val="24"/>
          <w:szCs w:val="24"/>
          <w:u w:val="single"/>
        </w:rPr>
      </w:pPr>
      <w:r w:rsidRPr="00BC456E">
        <w:rPr>
          <w:rFonts w:ascii="Times New Roman" w:eastAsia="Times New Roman" w:hAnsi="Times New Roman" w:cs="Times New Roman"/>
          <w:b/>
          <w:sz w:val="24"/>
          <w:szCs w:val="24"/>
          <w:u w:val="single"/>
        </w:rPr>
        <w:t>Expérience</w:t>
      </w:r>
      <w:r w:rsidR="00E5743E" w:rsidRPr="00BC456E">
        <w:rPr>
          <w:rFonts w:ascii="Times New Roman" w:eastAsia="Times New Roman" w:hAnsi="Times New Roman" w:cs="Times New Roman"/>
          <w:b/>
          <w:sz w:val="24"/>
          <w:szCs w:val="24"/>
          <w:u w:val="single"/>
        </w:rPr>
        <w:t>s</w:t>
      </w:r>
      <w:r w:rsidRPr="00BC456E">
        <w:rPr>
          <w:rFonts w:ascii="Times New Roman" w:eastAsia="Times New Roman" w:hAnsi="Times New Roman" w:cs="Times New Roman"/>
          <w:b/>
          <w:sz w:val="24"/>
          <w:szCs w:val="24"/>
          <w:u w:val="single"/>
        </w:rPr>
        <w:t xml:space="preserve"> générale</w:t>
      </w:r>
      <w:r w:rsidR="00E5743E" w:rsidRPr="00BC456E">
        <w:rPr>
          <w:rFonts w:ascii="Times New Roman" w:eastAsia="Times New Roman" w:hAnsi="Times New Roman" w:cs="Times New Roman"/>
          <w:b/>
          <w:sz w:val="24"/>
          <w:szCs w:val="24"/>
          <w:u w:val="single"/>
        </w:rPr>
        <w:t>s</w:t>
      </w:r>
      <w:r w:rsidRPr="00BC456E">
        <w:rPr>
          <w:rFonts w:ascii="Times New Roman" w:eastAsia="Times New Roman" w:hAnsi="Times New Roman" w:cs="Times New Roman"/>
          <w:b/>
          <w:sz w:val="24"/>
          <w:szCs w:val="24"/>
          <w:u w:val="single"/>
        </w:rPr>
        <w:t> :</w:t>
      </w:r>
    </w:p>
    <w:p w14:paraId="0ACA0FDB" w14:textId="10CF5CCF" w:rsidR="003B12F1" w:rsidRPr="00BC456E" w:rsidRDefault="003B12F1" w:rsidP="001F25B4">
      <w:pPr>
        <w:tabs>
          <w:tab w:val="left" w:pos="4185"/>
        </w:tabs>
        <w:spacing w:after="0" w:line="240" w:lineRule="auto"/>
        <w:ind w:left="780"/>
        <w:contextualSpacing/>
        <w:jc w:val="both"/>
        <w:rPr>
          <w:rFonts w:ascii="Times New Roman" w:eastAsia="Times New Roman" w:hAnsi="Times New Roman" w:cs="Times New Roman"/>
          <w:b/>
          <w:sz w:val="24"/>
          <w:szCs w:val="24"/>
          <w:u w:val="single"/>
        </w:rPr>
      </w:pPr>
    </w:p>
    <w:p w14:paraId="5075C86E" w14:textId="76387D87" w:rsidR="006F4AEE" w:rsidRPr="00BC456E" w:rsidRDefault="004008FA" w:rsidP="001F25B4">
      <w:pPr>
        <w:pStyle w:val="Paragraphedeliste"/>
        <w:numPr>
          <w:ilvl w:val="0"/>
          <w:numId w:val="24"/>
        </w:numPr>
        <w:jc w:val="both"/>
        <w:rPr>
          <w:rFonts w:ascii="Times New Roman" w:hAnsi="Times New Roman"/>
          <w:color w:val="000000"/>
          <w:spacing w:val="-3"/>
          <w:sz w:val="24"/>
          <w:szCs w:val="24"/>
        </w:rPr>
      </w:pPr>
      <w:r w:rsidRPr="00BC456E">
        <w:rPr>
          <w:rFonts w:ascii="Times New Roman" w:hAnsi="Times New Roman"/>
          <w:color w:val="000000"/>
          <w:spacing w:val="-3"/>
          <w:sz w:val="24"/>
          <w:szCs w:val="24"/>
        </w:rPr>
        <w:t>Le Consultant doit être un Cabinet d’Audit et d’Expertise Comptable indépendant, faisant profession habituelle de réviser les comptes, régulièrement inscrit au Tableau d’un Ordre des Experts comptables reconnu sur le plan international par l’IFAC ou la FIDEF, et ayant une expérience confirmée en audit financier des comptes des projets notamment ceux financés par la Banque Mondiale</w:t>
      </w:r>
      <w:r w:rsidR="00BC456E" w:rsidRPr="00BC456E">
        <w:rPr>
          <w:rFonts w:ascii="Times New Roman" w:hAnsi="Times New Roman"/>
          <w:color w:val="000000"/>
          <w:spacing w:val="-3"/>
          <w:sz w:val="24"/>
          <w:szCs w:val="24"/>
        </w:rPr>
        <w:t>.</w:t>
      </w:r>
    </w:p>
    <w:p w14:paraId="38D6073C" w14:textId="5EE480B0" w:rsidR="00FD210F" w:rsidRPr="00BC456E" w:rsidRDefault="00FD210F" w:rsidP="001F25B4">
      <w:pPr>
        <w:numPr>
          <w:ilvl w:val="0"/>
          <w:numId w:val="21"/>
        </w:numPr>
        <w:tabs>
          <w:tab w:val="left" w:pos="4185"/>
        </w:tabs>
        <w:spacing w:after="0" w:line="240" w:lineRule="auto"/>
        <w:contextualSpacing/>
        <w:jc w:val="both"/>
        <w:rPr>
          <w:rFonts w:ascii="Times New Roman" w:eastAsia="Times New Roman" w:hAnsi="Times New Roman" w:cs="Times New Roman"/>
          <w:b/>
          <w:sz w:val="24"/>
          <w:szCs w:val="24"/>
          <w:u w:val="single"/>
        </w:rPr>
      </w:pPr>
      <w:r w:rsidRPr="00BC456E">
        <w:rPr>
          <w:rFonts w:ascii="Times New Roman" w:eastAsia="Times New Roman" w:hAnsi="Times New Roman" w:cs="Times New Roman"/>
          <w:b/>
          <w:sz w:val="24"/>
          <w:szCs w:val="24"/>
          <w:u w:val="single"/>
        </w:rPr>
        <w:t>Expériences spécifiques :</w:t>
      </w:r>
    </w:p>
    <w:p w14:paraId="275452DA" w14:textId="77777777" w:rsidR="00E5743E" w:rsidRPr="00BC456E" w:rsidRDefault="00E5743E" w:rsidP="001F25B4">
      <w:pPr>
        <w:tabs>
          <w:tab w:val="left" w:pos="4185"/>
        </w:tabs>
        <w:spacing w:after="0" w:line="240" w:lineRule="auto"/>
        <w:ind w:left="60"/>
        <w:contextualSpacing/>
        <w:jc w:val="both"/>
        <w:rPr>
          <w:rFonts w:ascii="Times New Roman" w:eastAsia="Times New Roman" w:hAnsi="Times New Roman" w:cs="Times New Roman"/>
          <w:b/>
          <w:sz w:val="24"/>
          <w:szCs w:val="24"/>
          <w:u w:val="single"/>
        </w:rPr>
      </w:pPr>
    </w:p>
    <w:p w14:paraId="054F878D" w14:textId="4F9D3777" w:rsidR="00980A51" w:rsidRPr="00BC456E" w:rsidRDefault="00F74BCF" w:rsidP="001F25B4">
      <w:pPr>
        <w:pStyle w:val="Paragraphedeliste"/>
        <w:numPr>
          <w:ilvl w:val="0"/>
          <w:numId w:val="24"/>
        </w:numPr>
        <w:spacing w:after="0" w:line="240" w:lineRule="auto"/>
        <w:jc w:val="both"/>
        <w:rPr>
          <w:rFonts w:ascii="Times New Roman" w:hAnsi="Times New Roman"/>
          <w:color w:val="000000"/>
          <w:spacing w:val="-3"/>
          <w:sz w:val="24"/>
          <w:szCs w:val="24"/>
        </w:rPr>
      </w:pPr>
      <w:r w:rsidRPr="00BC456E">
        <w:rPr>
          <w:rFonts w:ascii="Times New Roman" w:hAnsi="Times New Roman"/>
          <w:color w:val="000000"/>
          <w:spacing w:val="-3"/>
          <w:sz w:val="24"/>
          <w:szCs w:val="24"/>
        </w:rPr>
        <w:t xml:space="preserve">Le </w:t>
      </w:r>
      <w:r w:rsidR="0000218C">
        <w:rPr>
          <w:rFonts w:ascii="Times New Roman" w:hAnsi="Times New Roman"/>
          <w:color w:val="000000"/>
          <w:spacing w:val="-3"/>
          <w:sz w:val="24"/>
          <w:szCs w:val="24"/>
        </w:rPr>
        <w:t>C</w:t>
      </w:r>
      <w:r w:rsidRPr="00BC456E">
        <w:rPr>
          <w:rFonts w:ascii="Times New Roman" w:hAnsi="Times New Roman"/>
          <w:color w:val="000000"/>
          <w:spacing w:val="-3"/>
          <w:sz w:val="24"/>
          <w:szCs w:val="24"/>
        </w:rPr>
        <w:t xml:space="preserve">abinet d’audit devra justifier d’au moins dix (10) missions d’audit financier des comptes de projets financés par les partenaires techniques et </w:t>
      </w:r>
      <w:r w:rsidR="00BC456E" w:rsidRPr="00BC456E">
        <w:rPr>
          <w:rFonts w:ascii="Times New Roman" w:hAnsi="Times New Roman"/>
          <w:color w:val="000000"/>
          <w:spacing w:val="-3"/>
          <w:sz w:val="24"/>
          <w:szCs w:val="24"/>
        </w:rPr>
        <w:t>financiers.</w:t>
      </w:r>
    </w:p>
    <w:p w14:paraId="1315AB60" w14:textId="77777777" w:rsidR="00EE5FE8" w:rsidRPr="00BC456E" w:rsidRDefault="00EE5FE8" w:rsidP="001F25B4">
      <w:pPr>
        <w:pStyle w:val="Paragraphedeliste"/>
        <w:spacing w:after="0" w:line="240" w:lineRule="auto"/>
        <w:jc w:val="both"/>
        <w:rPr>
          <w:rFonts w:ascii="Times New Roman" w:hAnsi="Times New Roman"/>
          <w:color w:val="000000"/>
          <w:spacing w:val="-3"/>
          <w:sz w:val="24"/>
          <w:szCs w:val="24"/>
        </w:rPr>
      </w:pPr>
    </w:p>
    <w:p w14:paraId="00057960" w14:textId="0BF07265" w:rsidR="001F25B4" w:rsidRPr="00A12013" w:rsidRDefault="00F122CA" w:rsidP="00A12013">
      <w:pPr>
        <w:numPr>
          <w:ilvl w:val="0"/>
          <w:numId w:val="21"/>
        </w:numPr>
        <w:tabs>
          <w:tab w:val="left" w:pos="4185"/>
        </w:tabs>
        <w:spacing w:after="0" w:line="240" w:lineRule="auto"/>
        <w:contextualSpacing/>
        <w:jc w:val="both"/>
        <w:rPr>
          <w:rFonts w:ascii="Times New Roman" w:eastAsia="Times New Roman" w:hAnsi="Times New Roman" w:cs="Times New Roman"/>
          <w:b/>
          <w:sz w:val="24"/>
          <w:szCs w:val="24"/>
          <w:u w:val="single"/>
        </w:rPr>
      </w:pPr>
      <w:r w:rsidRPr="00BC456E">
        <w:rPr>
          <w:rFonts w:ascii="Times New Roman" w:eastAsia="Times New Roman" w:hAnsi="Times New Roman" w:cs="Times New Roman"/>
          <w:b/>
          <w:sz w:val="24"/>
          <w:szCs w:val="24"/>
          <w:u w:val="single"/>
        </w:rPr>
        <w:t>C</w:t>
      </w:r>
      <w:r w:rsidR="00B17872" w:rsidRPr="00BC456E">
        <w:rPr>
          <w:rFonts w:ascii="Times New Roman" w:eastAsia="Times New Roman" w:hAnsi="Times New Roman" w:cs="Times New Roman"/>
          <w:b/>
          <w:sz w:val="24"/>
          <w:szCs w:val="24"/>
          <w:u w:val="single"/>
        </w:rPr>
        <w:t xml:space="preserve">apacité technique et administrative de </w:t>
      </w:r>
      <w:r w:rsidR="00652829" w:rsidRPr="00BC456E">
        <w:rPr>
          <w:rFonts w:ascii="Times New Roman" w:eastAsia="Times New Roman" w:hAnsi="Times New Roman" w:cs="Times New Roman"/>
          <w:b/>
          <w:sz w:val="24"/>
          <w:szCs w:val="24"/>
          <w:u w:val="single"/>
        </w:rPr>
        <w:t>la firme</w:t>
      </w:r>
      <w:r w:rsidR="00B17872" w:rsidRPr="00BC456E">
        <w:rPr>
          <w:rFonts w:ascii="Times New Roman" w:eastAsia="Times New Roman" w:hAnsi="Times New Roman" w:cs="Times New Roman"/>
          <w:b/>
          <w:sz w:val="24"/>
          <w:szCs w:val="24"/>
          <w:u w:val="single"/>
        </w:rPr>
        <w:t xml:space="preserve"> (Agrément/ou organisation)</w:t>
      </w:r>
    </w:p>
    <w:p w14:paraId="37629E8B" w14:textId="44A16DFE" w:rsidR="00EE5FE8" w:rsidRPr="00BC456E" w:rsidRDefault="003C6D97" w:rsidP="003C6D97">
      <w:pPr>
        <w:shd w:val="clear" w:color="auto" w:fill="FFFFFF"/>
        <w:spacing w:after="150" w:line="240" w:lineRule="auto"/>
        <w:jc w:val="both"/>
        <w:rPr>
          <w:rFonts w:ascii="Times New Roman" w:eastAsia="Times New Roman" w:hAnsi="Times New Roman" w:cs="Times New Roman"/>
          <w:color w:val="333333"/>
          <w:sz w:val="24"/>
          <w:szCs w:val="24"/>
        </w:rPr>
      </w:pPr>
      <w:r w:rsidRPr="00BC456E">
        <w:rPr>
          <w:rFonts w:ascii="Times New Roman" w:eastAsia="Times New Roman" w:hAnsi="Times New Roman" w:cs="Times New Roman"/>
          <w:color w:val="333333"/>
          <w:sz w:val="24"/>
          <w:szCs w:val="24"/>
        </w:rPr>
        <w:t xml:space="preserve">Ce qui pourrait correspondre à la répartition ci-après : </w:t>
      </w:r>
    </w:p>
    <w:p w14:paraId="221E85D9" w14:textId="0801A556" w:rsidR="00EE5FE8" w:rsidRPr="00BC456E" w:rsidRDefault="003C6D97"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sz w:val="24"/>
          <w:szCs w:val="24"/>
        </w:rPr>
      </w:pPr>
      <w:r w:rsidRPr="00BC456E">
        <w:rPr>
          <w:rFonts w:ascii="Times New Roman" w:eastAsia="Times New Roman" w:hAnsi="Times New Roman" w:cs="Times New Roman"/>
          <w:color w:val="333333"/>
          <w:sz w:val="24"/>
          <w:szCs w:val="24"/>
        </w:rPr>
        <w:t>Expérience générale</w:t>
      </w:r>
      <w:r w:rsidR="00C26E99" w:rsidRPr="00BC456E">
        <w:rPr>
          <w:rFonts w:ascii="Times New Roman" w:eastAsia="Times New Roman" w:hAnsi="Times New Roman" w:cs="Times New Roman"/>
          <w:color w:val="333333"/>
          <w:sz w:val="24"/>
          <w:szCs w:val="24"/>
        </w:rPr>
        <w:t>… (</w:t>
      </w:r>
      <w:r w:rsidR="009E6F1A" w:rsidRPr="00BC456E">
        <w:rPr>
          <w:rFonts w:ascii="Times New Roman" w:eastAsia="Times New Roman" w:hAnsi="Times New Roman" w:cs="Times New Roman"/>
          <w:color w:val="333333"/>
          <w:sz w:val="24"/>
          <w:szCs w:val="24"/>
        </w:rPr>
        <w:t>25</w:t>
      </w:r>
      <w:r w:rsidRPr="00BC456E">
        <w:rPr>
          <w:rFonts w:ascii="Times New Roman" w:eastAsia="Times New Roman" w:hAnsi="Times New Roman" w:cs="Times New Roman"/>
          <w:color w:val="333333"/>
          <w:sz w:val="24"/>
          <w:szCs w:val="24"/>
        </w:rPr>
        <w:t xml:space="preserve"> points) ; </w:t>
      </w:r>
    </w:p>
    <w:p w14:paraId="2A27213C" w14:textId="7FACC23D" w:rsidR="00EE5FE8" w:rsidRPr="00BC456E" w:rsidRDefault="003C6D97"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sz w:val="24"/>
          <w:szCs w:val="24"/>
        </w:rPr>
      </w:pPr>
      <w:r w:rsidRPr="00BC456E">
        <w:rPr>
          <w:rFonts w:ascii="Times New Roman" w:eastAsia="Times New Roman" w:hAnsi="Times New Roman" w:cs="Times New Roman"/>
          <w:color w:val="333333"/>
          <w:sz w:val="24"/>
          <w:szCs w:val="24"/>
        </w:rPr>
        <w:t>Expériences similaires…</w:t>
      </w:r>
      <w:r w:rsidR="001F736D" w:rsidRPr="00BC456E">
        <w:rPr>
          <w:rFonts w:ascii="Times New Roman" w:eastAsia="Times New Roman" w:hAnsi="Times New Roman" w:cs="Times New Roman"/>
          <w:color w:val="333333"/>
          <w:sz w:val="24"/>
          <w:szCs w:val="24"/>
        </w:rPr>
        <w:t>… (</w:t>
      </w:r>
      <w:r w:rsidR="00C26E99" w:rsidRPr="00BC456E">
        <w:rPr>
          <w:rFonts w:ascii="Times New Roman" w:eastAsia="Times New Roman" w:hAnsi="Times New Roman" w:cs="Times New Roman"/>
          <w:color w:val="333333"/>
          <w:sz w:val="24"/>
          <w:szCs w:val="24"/>
        </w:rPr>
        <w:t>65</w:t>
      </w:r>
      <w:r w:rsidRPr="00BC456E">
        <w:rPr>
          <w:rFonts w:ascii="Times New Roman" w:eastAsia="Times New Roman" w:hAnsi="Times New Roman" w:cs="Times New Roman"/>
          <w:color w:val="333333"/>
          <w:sz w:val="24"/>
          <w:szCs w:val="24"/>
        </w:rPr>
        <w:t xml:space="preserve"> points) ; </w:t>
      </w:r>
    </w:p>
    <w:p w14:paraId="6ED22BD6" w14:textId="751A6648" w:rsidR="003C6D97" w:rsidRPr="00BC456E" w:rsidRDefault="00EE5FE8"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sz w:val="24"/>
          <w:szCs w:val="24"/>
        </w:rPr>
      </w:pPr>
      <w:r w:rsidRPr="00BC456E">
        <w:rPr>
          <w:rFonts w:ascii="Times New Roman" w:eastAsia="Times New Roman" w:hAnsi="Times New Roman" w:cs="Times New Roman"/>
          <w:color w:val="333333"/>
          <w:sz w:val="24"/>
          <w:szCs w:val="24"/>
        </w:rPr>
        <w:t>O</w:t>
      </w:r>
      <w:r w:rsidR="001F736D" w:rsidRPr="00BC456E">
        <w:rPr>
          <w:rFonts w:ascii="Times New Roman" w:eastAsia="Times New Roman" w:hAnsi="Times New Roman" w:cs="Times New Roman"/>
          <w:color w:val="333333"/>
          <w:sz w:val="24"/>
          <w:szCs w:val="24"/>
        </w:rPr>
        <w:t>rganisation… (</w:t>
      </w:r>
      <w:r w:rsidR="003C6D97" w:rsidRPr="00BC456E">
        <w:rPr>
          <w:rFonts w:ascii="Times New Roman" w:eastAsia="Times New Roman" w:hAnsi="Times New Roman" w:cs="Times New Roman"/>
          <w:color w:val="333333"/>
          <w:sz w:val="24"/>
          <w:szCs w:val="24"/>
        </w:rPr>
        <w:t>10 points).</w:t>
      </w:r>
    </w:p>
    <w:p w14:paraId="4FD621DC" w14:textId="77777777" w:rsidR="001F25B4" w:rsidRPr="00BC456E" w:rsidRDefault="001F25B4" w:rsidP="00C26E99">
      <w:pPr>
        <w:pStyle w:val="Paragraphedeliste"/>
        <w:shd w:val="clear" w:color="auto" w:fill="FFFFFF"/>
        <w:spacing w:after="150" w:line="240" w:lineRule="auto"/>
        <w:ind w:left="780"/>
        <w:jc w:val="both"/>
        <w:rPr>
          <w:rFonts w:ascii="Times New Roman" w:eastAsia="Times New Roman" w:hAnsi="Times New Roman" w:cs="Times New Roman"/>
          <w:b/>
          <w:color w:val="333333"/>
          <w:u w:val="single"/>
        </w:rPr>
      </w:pPr>
    </w:p>
    <w:p w14:paraId="246912CF" w14:textId="6D0E1204" w:rsidR="00C26E99" w:rsidRPr="00BC456E" w:rsidRDefault="00C26E99" w:rsidP="00C26E99">
      <w:pPr>
        <w:pStyle w:val="Paragraphedeliste"/>
        <w:shd w:val="clear" w:color="auto" w:fill="FFFFFF"/>
        <w:spacing w:after="150" w:line="240" w:lineRule="auto"/>
        <w:ind w:left="780"/>
        <w:jc w:val="both"/>
        <w:rPr>
          <w:rFonts w:ascii="Times New Roman" w:eastAsia="Times New Roman" w:hAnsi="Times New Roman" w:cs="Times New Roman"/>
          <w:b/>
          <w:color w:val="333333"/>
          <w:sz w:val="24"/>
          <w:szCs w:val="24"/>
          <w:u w:val="single"/>
        </w:rPr>
      </w:pPr>
      <w:r w:rsidRPr="00BC456E">
        <w:rPr>
          <w:rFonts w:ascii="Times New Roman" w:eastAsia="Times New Roman" w:hAnsi="Times New Roman" w:cs="Times New Roman"/>
          <w:b/>
          <w:color w:val="333333"/>
          <w:sz w:val="24"/>
          <w:szCs w:val="24"/>
          <w:u w:val="single"/>
        </w:rPr>
        <w:lastRenderedPageBreak/>
        <w:t>Personnel</w:t>
      </w:r>
    </w:p>
    <w:p w14:paraId="6E034F8F" w14:textId="77777777" w:rsidR="00C26E99" w:rsidRPr="00BC456E" w:rsidRDefault="00C26E99" w:rsidP="00EE5FE8">
      <w:pPr>
        <w:shd w:val="clear" w:color="auto" w:fill="FFFFFF"/>
        <w:spacing w:after="0" w:line="240" w:lineRule="auto"/>
        <w:jc w:val="both"/>
        <w:rPr>
          <w:rFonts w:ascii="Times New Roman" w:eastAsia="Times New Roman" w:hAnsi="Times New Roman" w:cs="Times New Roman"/>
          <w:b/>
          <w:color w:val="333333"/>
          <w:sz w:val="24"/>
          <w:szCs w:val="24"/>
        </w:rPr>
      </w:pPr>
      <w:r w:rsidRPr="00BC456E">
        <w:rPr>
          <w:rFonts w:ascii="Times New Roman" w:eastAsia="Times New Roman" w:hAnsi="Times New Roman" w:cs="Times New Roman"/>
          <w:b/>
          <w:color w:val="333333"/>
          <w:sz w:val="24"/>
          <w:szCs w:val="24"/>
        </w:rPr>
        <w:t>Le personnel clé ne sera pas évalué lors de l’établissement de la liste restreinte.</w:t>
      </w:r>
    </w:p>
    <w:p w14:paraId="2646D8C8" w14:textId="0478E633" w:rsidR="00714D34" w:rsidRPr="00BC456E" w:rsidRDefault="00714D34" w:rsidP="00EE5FE8">
      <w:pPr>
        <w:spacing w:after="0" w:line="240" w:lineRule="auto"/>
        <w:jc w:val="both"/>
        <w:rPr>
          <w:rFonts w:ascii="Times New Roman" w:hAnsi="Times New Roman" w:cs="Times New Roman"/>
          <w:i/>
          <w:sz w:val="24"/>
          <w:szCs w:val="24"/>
        </w:rPr>
      </w:pPr>
      <w:r w:rsidRPr="00BC456E">
        <w:rPr>
          <w:rFonts w:ascii="Times New Roman" w:hAnsi="Times New Roman" w:cs="Times New Roman"/>
          <w:sz w:val="24"/>
          <w:szCs w:val="24"/>
        </w:rPr>
        <w:t xml:space="preserve">Il est porté à l’attention des Consultants que les dispositions des paragraphes </w:t>
      </w:r>
      <w:r w:rsidRPr="00BC456E">
        <w:rPr>
          <w:rFonts w:ascii="Times New Roman" w:hAnsi="Times New Roman" w:cs="Times New Roman"/>
          <w:spacing w:val="-2"/>
          <w:sz w:val="24"/>
          <w:szCs w:val="24"/>
        </w:rPr>
        <w:t xml:space="preserve">3.14, 3.16, et 3.17 </w:t>
      </w:r>
      <w:r w:rsidRPr="00BC456E">
        <w:rPr>
          <w:rFonts w:ascii="Times New Roman" w:hAnsi="Times New Roman" w:cs="Times New Roman"/>
          <w:sz w:val="24"/>
          <w:szCs w:val="24"/>
        </w:rPr>
        <w:t>de la Section III de : « BANQUE MONDIALE, Règlement de Passation des Marchés pour les Emprunteurs sollicitant le Financement de Projets d’Investissement (FPI)</w:t>
      </w:r>
      <w:r w:rsidRPr="00BC456E">
        <w:rPr>
          <w:rFonts w:ascii="Times New Roman" w:hAnsi="Times New Roman" w:cs="Times New Roman"/>
          <w:i/>
          <w:sz w:val="24"/>
          <w:szCs w:val="24"/>
        </w:rPr>
        <w:t> </w:t>
      </w:r>
      <w:r w:rsidRPr="00BC456E">
        <w:rPr>
          <w:rFonts w:ascii="Times New Roman" w:hAnsi="Times New Roman" w:cs="Times New Roman"/>
          <w:sz w:val="24"/>
          <w:szCs w:val="24"/>
        </w:rPr>
        <w:t xml:space="preserve">», Edition </w:t>
      </w:r>
      <w:r w:rsidR="00147D6F" w:rsidRPr="00BC456E">
        <w:rPr>
          <w:rFonts w:ascii="Times New Roman" w:hAnsi="Times New Roman" w:cs="Times New Roman"/>
          <w:sz w:val="24"/>
          <w:szCs w:val="24"/>
        </w:rPr>
        <w:t>Septembre</w:t>
      </w:r>
      <w:r w:rsidRPr="00BC456E">
        <w:rPr>
          <w:rFonts w:ascii="Times New Roman" w:hAnsi="Times New Roman" w:cs="Times New Roman"/>
          <w:sz w:val="24"/>
          <w:szCs w:val="24"/>
        </w:rPr>
        <w:t xml:space="preserve"> 202</w:t>
      </w:r>
      <w:r w:rsidR="00147D6F" w:rsidRPr="00BC456E">
        <w:rPr>
          <w:rFonts w:ascii="Times New Roman" w:hAnsi="Times New Roman" w:cs="Times New Roman"/>
          <w:sz w:val="24"/>
          <w:szCs w:val="24"/>
        </w:rPr>
        <w:t>3</w:t>
      </w:r>
      <w:r w:rsidRPr="00BC456E">
        <w:rPr>
          <w:rFonts w:ascii="Times New Roman" w:hAnsi="Times New Roman" w:cs="Times New Roman"/>
          <w:sz w:val="24"/>
          <w:szCs w:val="24"/>
        </w:rPr>
        <w:t>, relatifs aux règles de la Banque mondiale en matière de conflit d’intérêts sont applicables.</w:t>
      </w:r>
    </w:p>
    <w:p w14:paraId="4EA8C7AD" w14:textId="17FFA8AE" w:rsidR="00562DBF" w:rsidRPr="00BC456E" w:rsidRDefault="0061076D" w:rsidP="00EE5FE8">
      <w:pPr>
        <w:shd w:val="clear" w:color="auto" w:fill="FFFFFF"/>
        <w:spacing w:after="0" w:line="240" w:lineRule="auto"/>
        <w:jc w:val="both"/>
        <w:rPr>
          <w:rFonts w:ascii="Times New Roman" w:hAnsi="Times New Roman" w:cs="Times New Roman"/>
          <w:sz w:val="24"/>
          <w:szCs w:val="24"/>
        </w:rPr>
      </w:pPr>
      <w:r w:rsidRPr="00BC456E">
        <w:rPr>
          <w:rFonts w:ascii="Times New Roman" w:hAnsi="Times New Roman" w:cs="Times New Roman"/>
          <w:sz w:val="24"/>
          <w:szCs w:val="24"/>
        </w:rPr>
        <w:t>Les Consultants peuvent s’associer avec d’autres firmes pour renforcer leurs compétences respectives en la forme d’un groupement ou d’un accord de sous-traitant. En cas de groupement, tous les membres de ce groupement restent conjointement et solidairement responsables de l’exécution de la mission au cas où le groupement sera sélectionné.  </w:t>
      </w:r>
    </w:p>
    <w:p w14:paraId="0370200E" w14:textId="1CED5214" w:rsidR="00EE5FE8" w:rsidRPr="00BC456E" w:rsidRDefault="00C2361F" w:rsidP="00EE5FE8">
      <w:pPr>
        <w:spacing w:after="0"/>
        <w:jc w:val="both"/>
        <w:rPr>
          <w:rFonts w:ascii="Times New Roman" w:eastAsia="Times New Roman" w:hAnsi="Times New Roman" w:cs="Times New Roman"/>
          <w:color w:val="333333"/>
          <w:sz w:val="24"/>
          <w:szCs w:val="24"/>
        </w:rPr>
      </w:pPr>
      <w:r w:rsidRPr="00883E28">
        <w:rPr>
          <w:rFonts w:ascii="Times New Roman" w:eastAsia="Times New Roman" w:hAnsi="Times New Roman" w:cs="Times New Roman"/>
          <w:color w:val="333333"/>
          <w:sz w:val="24"/>
          <w:szCs w:val="24"/>
        </w:rPr>
        <w:t xml:space="preserve">Un Consultant sera recruté selon la méthode </w:t>
      </w:r>
      <w:r w:rsidR="006F4AEE" w:rsidRPr="00883E28">
        <w:rPr>
          <w:rFonts w:ascii="Times New Roman" w:eastAsia="Times New Roman" w:hAnsi="Times New Roman" w:cs="Times New Roman"/>
          <w:color w:val="333333"/>
          <w:sz w:val="24"/>
          <w:szCs w:val="24"/>
        </w:rPr>
        <w:t xml:space="preserve">sélection </w:t>
      </w:r>
      <w:r w:rsidR="00604E39" w:rsidRPr="00883E28">
        <w:rPr>
          <w:rFonts w:ascii="Times New Roman" w:eastAsia="Times New Roman" w:hAnsi="Times New Roman" w:cs="Times New Roman"/>
          <w:color w:val="333333"/>
          <w:sz w:val="24"/>
          <w:szCs w:val="24"/>
        </w:rPr>
        <w:t xml:space="preserve">au moindre coût </w:t>
      </w:r>
      <w:r w:rsidR="006F4AEE" w:rsidRPr="00883E28">
        <w:rPr>
          <w:rFonts w:ascii="Times New Roman" w:eastAsia="Times New Roman" w:hAnsi="Times New Roman" w:cs="Times New Roman"/>
          <w:color w:val="333333"/>
          <w:sz w:val="24"/>
          <w:szCs w:val="24"/>
        </w:rPr>
        <w:t>(S</w:t>
      </w:r>
      <w:r w:rsidR="00604E39" w:rsidRPr="00883E28">
        <w:rPr>
          <w:rFonts w:ascii="Times New Roman" w:eastAsia="Times New Roman" w:hAnsi="Times New Roman" w:cs="Times New Roman"/>
          <w:color w:val="333333"/>
          <w:sz w:val="24"/>
          <w:szCs w:val="24"/>
        </w:rPr>
        <w:t>M</w:t>
      </w:r>
      <w:r w:rsidR="006F4AEE" w:rsidRPr="00883E28">
        <w:rPr>
          <w:rFonts w:ascii="Times New Roman" w:eastAsia="Times New Roman" w:hAnsi="Times New Roman" w:cs="Times New Roman"/>
          <w:color w:val="333333"/>
          <w:sz w:val="24"/>
          <w:szCs w:val="24"/>
        </w:rPr>
        <w:t>C)</w:t>
      </w:r>
      <w:r w:rsidRPr="00883E28">
        <w:rPr>
          <w:rFonts w:ascii="Times New Roman" w:eastAsia="Times New Roman" w:hAnsi="Times New Roman" w:cs="Times New Roman"/>
          <w:color w:val="333333"/>
          <w:sz w:val="24"/>
          <w:szCs w:val="24"/>
        </w:rPr>
        <w:t xml:space="preserve"> en accord avec les procédures définies dans le Règlement de passation de marchés pour les Emprunteurs sollicitant le Financement de Projets d’Investissement (FPI) de la Banque mondiale, Édition Septembre 2023.</w:t>
      </w:r>
    </w:p>
    <w:p w14:paraId="69E416CD" w14:textId="5DF34FBE" w:rsidR="00171166" w:rsidRPr="00BC456E" w:rsidRDefault="00171166" w:rsidP="00EE5FE8">
      <w:pPr>
        <w:spacing w:after="0" w:line="240" w:lineRule="auto"/>
        <w:jc w:val="both"/>
        <w:rPr>
          <w:rFonts w:ascii="Times New Roman" w:eastAsia="Times New Roman" w:hAnsi="Times New Roman" w:cs="Times New Roman"/>
          <w:b/>
          <w:bCs/>
          <w:sz w:val="24"/>
          <w:szCs w:val="24"/>
          <w:lang w:eastAsia="fr-FR"/>
        </w:rPr>
      </w:pPr>
      <w:r w:rsidRPr="00BC456E">
        <w:rPr>
          <w:rFonts w:ascii="Times New Roman" w:eastAsia="Times New Roman" w:hAnsi="Times New Roman" w:cs="Times New Roman"/>
          <w:sz w:val="24"/>
          <w:szCs w:val="24"/>
          <w:lang w:eastAsia="zh-CN"/>
        </w:rPr>
        <w:t xml:space="preserve">Les Consultants intéressés peuvent obtenir les Termes de référence complets et des informations supplémentaires à l'adresse mentionnée ci-dessous aux heures de bureau suivantes : </w:t>
      </w:r>
      <w:r w:rsidRPr="00BC456E">
        <w:rPr>
          <w:rFonts w:ascii="Times New Roman" w:eastAsia="Times New Roman" w:hAnsi="Times New Roman" w:cs="Times New Roman"/>
          <w:b/>
          <w:bCs/>
          <w:sz w:val="24"/>
          <w:szCs w:val="24"/>
          <w:lang w:eastAsia="fr-FR"/>
        </w:rPr>
        <w:t>du Lundi au Jeudi de 9 h 00 mn à 16 h 30 mn GMT et le Vendredi de 9 h 00 mn à 13 h 00 mn GMT.</w:t>
      </w:r>
    </w:p>
    <w:p w14:paraId="63B3B7B6" w14:textId="690D0CEA" w:rsidR="00171166" w:rsidRPr="00BC456E" w:rsidRDefault="00171166" w:rsidP="00EE5FE8">
      <w:pPr>
        <w:spacing w:after="0" w:line="240" w:lineRule="auto"/>
        <w:jc w:val="both"/>
        <w:rPr>
          <w:rFonts w:ascii="Times New Roman" w:eastAsia="Times New Roman" w:hAnsi="Times New Roman" w:cs="Times New Roman"/>
          <w:b/>
          <w:spacing w:val="-2"/>
          <w:sz w:val="24"/>
          <w:szCs w:val="24"/>
          <w:lang w:eastAsia="fr-FR"/>
        </w:rPr>
      </w:pPr>
      <w:r w:rsidRPr="00BC456E">
        <w:rPr>
          <w:rFonts w:ascii="Times New Roman" w:eastAsia="Times New Roman" w:hAnsi="Times New Roman" w:cs="Times New Roman"/>
          <w:spacing w:val="-2"/>
          <w:sz w:val="24"/>
          <w:szCs w:val="24"/>
          <w:lang w:eastAsia="fr-FR"/>
        </w:rPr>
        <w:t xml:space="preserve">Les expressions d'intérêt doivent être déposées ou transmises par courriel à l'adresse mentionnée ci-dessous </w:t>
      </w:r>
      <w:r w:rsidR="002A635E" w:rsidRPr="00BC456E">
        <w:rPr>
          <w:rFonts w:ascii="Times New Roman" w:eastAsia="Times New Roman" w:hAnsi="Times New Roman" w:cs="Times New Roman"/>
          <w:spacing w:val="-2"/>
          <w:sz w:val="24"/>
          <w:szCs w:val="24"/>
          <w:lang w:eastAsia="fr-FR"/>
        </w:rPr>
        <w:t xml:space="preserve">au </w:t>
      </w:r>
      <w:r w:rsidRPr="00BC456E">
        <w:rPr>
          <w:rFonts w:ascii="Times New Roman" w:eastAsia="Times New Roman" w:hAnsi="Times New Roman" w:cs="Times New Roman"/>
          <w:bCs/>
          <w:sz w:val="24"/>
          <w:szCs w:val="24"/>
          <w:shd w:val="clear" w:color="auto" w:fill="FFFFFF" w:themeFill="background1"/>
          <w:lang w:eastAsia="fr-FR"/>
        </w:rPr>
        <w:t xml:space="preserve">plus tard le </w:t>
      </w:r>
      <w:r w:rsidR="003F4AA8" w:rsidRPr="00BC456E">
        <w:rPr>
          <w:rFonts w:ascii="Times New Roman" w:eastAsia="Times New Roman" w:hAnsi="Times New Roman" w:cs="Times New Roman"/>
          <w:b/>
          <w:bCs/>
          <w:sz w:val="24"/>
          <w:szCs w:val="24"/>
          <w:shd w:val="clear" w:color="auto" w:fill="FFFFFF" w:themeFill="background1"/>
          <w:lang w:eastAsia="fr-FR"/>
        </w:rPr>
        <w:t>30</w:t>
      </w:r>
      <w:r w:rsidR="00EE5FE8" w:rsidRPr="00BC456E">
        <w:rPr>
          <w:rFonts w:ascii="Times New Roman" w:eastAsia="Times New Roman" w:hAnsi="Times New Roman" w:cs="Times New Roman"/>
          <w:b/>
          <w:bCs/>
          <w:sz w:val="24"/>
          <w:szCs w:val="24"/>
          <w:shd w:val="clear" w:color="auto" w:fill="FFFFFF" w:themeFill="background1"/>
          <w:lang w:eastAsia="fr-FR"/>
        </w:rPr>
        <w:t xml:space="preserve"> </w:t>
      </w:r>
      <w:r w:rsidR="00C77C22" w:rsidRPr="00BC456E">
        <w:rPr>
          <w:rFonts w:ascii="Times New Roman" w:eastAsia="Times New Roman" w:hAnsi="Times New Roman" w:cs="Times New Roman"/>
          <w:b/>
          <w:bCs/>
          <w:sz w:val="24"/>
          <w:szCs w:val="24"/>
          <w:shd w:val="clear" w:color="auto" w:fill="FFFFFF" w:themeFill="background1"/>
          <w:lang w:eastAsia="fr-FR"/>
        </w:rPr>
        <w:t xml:space="preserve">Décembre </w:t>
      </w:r>
      <w:r w:rsidR="00B17CE7" w:rsidRPr="00BC456E">
        <w:rPr>
          <w:rFonts w:ascii="Times New Roman" w:eastAsia="Times New Roman" w:hAnsi="Times New Roman" w:cs="Times New Roman"/>
          <w:b/>
          <w:bCs/>
          <w:sz w:val="24"/>
          <w:szCs w:val="24"/>
          <w:shd w:val="clear" w:color="auto" w:fill="FFFFFF" w:themeFill="background1"/>
          <w:lang w:eastAsia="fr-FR"/>
        </w:rPr>
        <w:t>2024 à 10 h 00 mn GMT</w:t>
      </w:r>
      <w:r w:rsidR="00844C6E" w:rsidRPr="00BC456E">
        <w:rPr>
          <w:rFonts w:ascii="Times New Roman" w:eastAsia="Times New Roman" w:hAnsi="Times New Roman" w:cs="Times New Roman"/>
          <w:b/>
          <w:bCs/>
          <w:sz w:val="24"/>
          <w:szCs w:val="24"/>
          <w:shd w:val="clear" w:color="auto" w:fill="FFFFFF" w:themeFill="background1"/>
          <w:lang w:eastAsia="fr-FR"/>
        </w:rPr>
        <w:t>.</w:t>
      </w:r>
      <w:r w:rsidRPr="00BC456E">
        <w:rPr>
          <w:rFonts w:ascii="Times New Roman" w:eastAsia="Times New Roman" w:hAnsi="Times New Roman" w:cs="Times New Roman"/>
          <w:spacing w:val="-2"/>
          <w:sz w:val="24"/>
          <w:szCs w:val="24"/>
          <w:shd w:val="clear" w:color="auto" w:fill="FFFFFF" w:themeFill="background1"/>
          <w:lang w:eastAsia="fr-FR"/>
        </w:rPr>
        <w:t xml:space="preserve"> </w:t>
      </w:r>
      <w:r w:rsidR="00844C6E" w:rsidRPr="00BC456E">
        <w:rPr>
          <w:rFonts w:ascii="Times New Roman" w:eastAsia="Times New Roman" w:hAnsi="Times New Roman" w:cs="Times New Roman"/>
          <w:sz w:val="24"/>
          <w:szCs w:val="24"/>
          <w:shd w:val="clear" w:color="auto" w:fill="FFFFFF" w:themeFill="background1"/>
          <w:lang w:eastAsia="fr-FR"/>
        </w:rPr>
        <w:t>Les</w:t>
      </w:r>
      <w:r w:rsidR="00844C6E" w:rsidRPr="00BC456E">
        <w:rPr>
          <w:rFonts w:ascii="Times New Roman" w:eastAsia="Times New Roman" w:hAnsi="Times New Roman" w:cs="Times New Roman"/>
          <w:sz w:val="24"/>
          <w:szCs w:val="24"/>
          <w:lang w:eastAsia="fr-FR"/>
        </w:rPr>
        <w:t xml:space="preserve"> enveloppes doivent (ou l’objet du mail) </w:t>
      </w:r>
      <w:r w:rsidRPr="00BC456E">
        <w:rPr>
          <w:rFonts w:ascii="Times New Roman" w:eastAsia="Times New Roman" w:hAnsi="Times New Roman" w:cs="Times New Roman"/>
          <w:sz w:val="24"/>
          <w:szCs w:val="24"/>
          <w:lang w:eastAsia="fr-FR"/>
        </w:rPr>
        <w:t>porter expressément la mention</w:t>
      </w:r>
      <w:r w:rsidR="00AF3849" w:rsidRPr="00BC456E">
        <w:rPr>
          <w:rFonts w:ascii="Times New Roman" w:eastAsia="Times New Roman" w:hAnsi="Times New Roman" w:cs="Times New Roman"/>
          <w:sz w:val="24"/>
          <w:szCs w:val="24"/>
          <w:lang w:eastAsia="fr-FR"/>
        </w:rPr>
        <w:t xml:space="preserve"> </w:t>
      </w:r>
      <w:r w:rsidR="00AF3849" w:rsidRPr="00BC456E">
        <w:rPr>
          <w:rFonts w:ascii="Times New Roman" w:eastAsia="Times New Roman" w:hAnsi="Times New Roman" w:cs="Times New Roman"/>
          <w:b/>
          <w:sz w:val="24"/>
          <w:szCs w:val="24"/>
          <w:lang w:eastAsia="fr-FR"/>
        </w:rPr>
        <w:t xml:space="preserve">« </w:t>
      </w:r>
      <w:r w:rsidR="00560F90" w:rsidRPr="00BC456E">
        <w:rPr>
          <w:rFonts w:ascii="Times New Roman" w:eastAsia="Times New Roman" w:hAnsi="Times New Roman" w:cs="Times New Roman"/>
          <w:b/>
          <w:sz w:val="24"/>
          <w:szCs w:val="24"/>
          <w:lang w:eastAsia="fr-FR"/>
        </w:rPr>
        <w:t>Recrutement d'un Auditeur externe des comptes du PDACG pour les exercices 2024, 2025 et l’Audit de clôture</w:t>
      </w:r>
      <w:r w:rsidR="008D18CD" w:rsidRPr="00BC456E">
        <w:rPr>
          <w:rFonts w:ascii="Times New Roman" w:eastAsia="Times New Roman" w:hAnsi="Times New Roman" w:cs="Times New Roman"/>
          <w:b/>
          <w:spacing w:val="-2"/>
          <w:sz w:val="24"/>
          <w:szCs w:val="24"/>
          <w:lang w:eastAsia="fr-FR"/>
        </w:rPr>
        <w:t xml:space="preserve"> »</w:t>
      </w:r>
      <w:r w:rsidRPr="00BC456E">
        <w:rPr>
          <w:rFonts w:ascii="Times New Roman" w:eastAsia="Times New Roman" w:hAnsi="Times New Roman" w:cs="Times New Roman"/>
          <w:b/>
          <w:spacing w:val="-2"/>
          <w:sz w:val="24"/>
          <w:szCs w:val="24"/>
          <w:lang w:eastAsia="fr-FR"/>
        </w:rPr>
        <w:t>.</w:t>
      </w:r>
    </w:p>
    <w:p w14:paraId="066EE85A" w14:textId="28EFF407" w:rsidR="00AC1704" w:rsidRPr="00BC456E" w:rsidRDefault="00171166" w:rsidP="00EE5FE8">
      <w:pPr>
        <w:spacing w:after="0" w:line="240" w:lineRule="auto"/>
        <w:jc w:val="both"/>
        <w:rPr>
          <w:rFonts w:ascii="Times New Roman" w:eastAsia="SimSun" w:hAnsi="Times New Roman" w:cs="Times New Roman"/>
          <w:b/>
          <w:bCs/>
          <w:sz w:val="24"/>
          <w:szCs w:val="24"/>
          <w:lang w:eastAsia="zh-CN"/>
        </w:rPr>
      </w:pPr>
      <w:r w:rsidRPr="00BC456E">
        <w:rPr>
          <w:rFonts w:ascii="Times New Roman" w:eastAsia="SimSun" w:hAnsi="Times New Roman" w:cs="Times New Roman"/>
          <w:b/>
          <w:bCs/>
          <w:sz w:val="24"/>
          <w:szCs w:val="24"/>
          <w:lang w:eastAsia="zh-CN"/>
        </w:rPr>
        <w:t>À l'attention</w:t>
      </w:r>
      <w:r w:rsidR="00F122CA" w:rsidRPr="00BC456E">
        <w:rPr>
          <w:rFonts w:ascii="Times New Roman" w:eastAsia="SimSun" w:hAnsi="Times New Roman" w:cs="Times New Roman"/>
          <w:b/>
          <w:bCs/>
          <w:sz w:val="24"/>
          <w:szCs w:val="24"/>
          <w:lang w:eastAsia="zh-CN"/>
        </w:rPr>
        <w:t xml:space="preserve"> de</w:t>
      </w:r>
      <w:r w:rsidRPr="00BC456E">
        <w:rPr>
          <w:rFonts w:ascii="Times New Roman" w:eastAsia="SimSun" w:hAnsi="Times New Roman" w:cs="Times New Roman"/>
          <w:b/>
          <w:bCs/>
          <w:sz w:val="24"/>
          <w:szCs w:val="24"/>
          <w:lang w:eastAsia="zh-CN"/>
        </w:rPr>
        <w:t xml:space="preserve"> : M</w:t>
      </w:r>
      <w:r w:rsidR="004650B0" w:rsidRPr="00BC456E">
        <w:rPr>
          <w:rFonts w:ascii="Times New Roman" w:eastAsia="SimSun" w:hAnsi="Times New Roman" w:cs="Times New Roman"/>
          <w:b/>
          <w:bCs/>
          <w:sz w:val="24"/>
          <w:szCs w:val="24"/>
          <w:lang w:eastAsia="zh-CN"/>
        </w:rPr>
        <w:t>onsieur le</w:t>
      </w:r>
      <w:r w:rsidRPr="00BC456E">
        <w:rPr>
          <w:rFonts w:ascii="Times New Roman" w:eastAsia="SimSun" w:hAnsi="Times New Roman" w:cs="Times New Roman"/>
          <w:b/>
          <w:bCs/>
          <w:sz w:val="24"/>
          <w:szCs w:val="24"/>
          <w:lang w:eastAsia="zh-CN"/>
        </w:rPr>
        <w:t xml:space="preserve"> Coordonnateur National du </w:t>
      </w:r>
      <w:r w:rsidR="00AF3849" w:rsidRPr="00BC456E">
        <w:rPr>
          <w:rFonts w:ascii="Times New Roman" w:eastAsia="SimSun" w:hAnsi="Times New Roman" w:cs="Times New Roman"/>
          <w:b/>
          <w:bCs/>
          <w:sz w:val="24"/>
          <w:szCs w:val="24"/>
          <w:lang w:eastAsia="zh-CN"/>
        </w:rPr>
        <w:t>Projet de Développement de l’Agriculture Commerciale en Guinée (PDACG).</w:t>
      </w:r>
    </w:p>
    <w:p w14:paraId="18B9C1E5" w14:textId="77777777" w:rsidR="00EE5FE8" w:rsidRPr="00BC456E" w:rsidRDefault="00EE5FE8" w:rsidP="00EE5FE8">
      <w:pPr>
        <w:spacing w:after="0" w:line="240" w:lineRule="auto"/>
        <w:jc w:val="both"/>
        <w:rPr>
          <w:rFonts w:ascii="Times New Roman" w:eastAsia="SimSun" w:hAnsi="Times New Roman" w:cs="Times New Roman"/>
          <w:bCs/>
          <w:sz w:val="24"/>
          <w:szCs w:val="24"/>
          <w:lang w:eastAsia="zh-CN"/>
        </w:rPr>
      </w:pPr>
    </w:p>
    <w:p w14:paraId="07568A7A" w14:textId="6EF57E14" w:rsidR="00F96535" w:rsidRPr="00BC456E" w:rsidRDefault="00F96535" w:rsidP="00EE5FE8">
      <w:pPr>
        <w:spacing w:after="0" w:line="240" w:lineRule="auto"/>
        <w:jc w:val="both"/>
        <w:rPr>
          <w:rFonts w:ascii="Times New Roman" w:eastAsia="SimSun" w:hAnsi="Times New Roman" w:cs="Times New Roman"/>
          <w:bCs/>
          <w:lang w:eastAsia="zh-CN"/>
        </w:rPr>
      </w:pPr>
      <w:r w:rsidRPr="00BC456E">
        <w:rPr>
          <w:rFonts w:ascii="Times New Roman" w:eastAsia="SimSun" w:hAnsi="Times New Roman" w:cs="Times New Roman"/>
          <w:b/>
          <w:bCs/>
          <w:sz w:val="24"/>
          <w:szCs w:val="24"/>
          <w:lang w:eastAsia="zh-CN"/>
        </w:rPr>
        <w:t xml:space="preserve">L’adresse dont il est fait mention ci-dessus est: Projet de Développement de l’Agriculture Commerciale en Guinée (PDACG), Immeuble Fella, 5ème étage, Quartier Camayenne, Commune de Dixinn, </w:t>
      </w:r>
      <w:r w:rsidRPr="00BC456E">
        <w:rPr>
          <w:rFonts w:ascii="Times New Roman" w:eastAsia="Calibri" w:hAnsi="Times New Roman" w:cs="Times New Roman"/>
          <w:b/>
          <w:bCs/>
          <w:sz w:val="24"/>
          <w:szCs w:val="24"/>
        </w:rPr>
        <w:t xml:space="preserve">Tél : (+224) 628 89 66 80 Email : </w:t>
      </w:r>
      <w:hyperlink r:id="rId12" w:tgtFrame="_blank" w:history="1">
        <w:r w:rsidR="001517D1" w:rsidRPr="00BC456E">
          <w:rPr>
            <w:rStyle w:val="Lienhypertexte"/>
            <w:rFonts w:ascii="Times New Roman" w:eastAsia="Calibri" w:hAnsi="Times New Roman" w:cs="Times New Roman"/>
            <w:b/>
            <w:bCs/>
            <w:sz w:val="24"/>
            <w:szCs w:val="24"/>
          </w:rPr>
          <w:t>coordonnateurpdacg@gmail.com</w:t>
        </w:r>
      </w:hyperlink>
      <w:r w:rsidRPr="00BC456E">
        <w:rPr>
          <w:rFonts w:ascii="Times New Roman" w:eastAsia="Calibri" w:hAnsi="Times New Roman" w:cs="Times New Roman"/>
          <w:b/>
          <w:bCs/>
          <w:color w:val="0000FF"/>
          <w:sz w:val="24"/>
          <w:szCs w:val="24"/>
        </w:rPr>
        <w:t xml:space="preserve"> </w:t>
      </w:r>
      <w:r w:rsidRPr="00BC456E">
        <w:rPr>
          <w:rFonts w:ascii="Times New Roman" w:eastAsia="Calibri" w:hAnsi="Times New Roman" w:cs="Times New Roman"/>
          <w:b/>
          <w:bCs/>
          <w:sz w:val="24"/>
          <w:szCs w:val="24"/>
        </w:rPr>
        <w:t xml:space="preserve">avec copie obligatoire à : </w:t>
      </w:r>
      <w:hyperlink r:id="rId13" w:history="1">
        <w:r w:rsidRPr="00BC456E">
          <w:rPr>
            <w:rStyle w:val="Lienhypertexte"/>
            <w:rFonts w:ascii="Times New Roman" w:eastAsia="Calibri" w:hAnsi="Times New Roman" w:cs="Times New Roman"/>
            <w:b/>
            <w:bCs/>
            <w:sz w:val="24"/>
            <w:szCs w:val="24"/>
          </w:rPr>
          <w:t>pdacg@magel.gov.gn</w:t>
        </w:r>
      </w:hyperlink>
      <w:r w:rsidRPr="00BC456E">
        <w:rPr>
          <w:rStyle w:val="Lienhypertexte"/>
          <w:rFonts w:ascii="Times New Roman" w:eastAsia="Calibri" w:hAnsi="Times New Roman" w:cs="Times New Roman"/>
          <w:b/>
          <w:bCs/>
          <w:color w:val="auto"/>
          <w:sz w:val="24"/>
          <w:szCs w:val="24"/>
          <w:u w:val="none"/>
        </w:rPr>
        <w:t xml:space="preserve"> et</w:t>
      </w:r>
      <w:r w:rsidRPr="00BC456E">
        <w:rPr>
          <w:rStyle w:val="Lienhypertexte"/>
          <w:rFonts w:ascii="Times New Roman" w:eastAsia="Calibri" w:hAnsi="Times New Roman" w:cs="Times New Roman"/>
          <w:b/>
          <w:bCs/>
          <w:color w:val="auto"/>
          <w:sz w:val="24"/>
          <w:szCs w:val="24"/>
        </w:rPr>
        <w:t xml:space="preserve"> </w:t>
      </w:r>
      <w:r w:rsidRPr="00BC456E">
        <w:rPr>
          <w:rStyle w:val="Lienhypertexte"/>
          <w:rFonts w:ascii="Times New Roman" w:eastAsia="Calibri" w:hAnsi="Times New Roman" w:cs="Times New Roman"/>
          <w:b/>
          <w:bCs/>
          <w:sz w:val="24"/>
          <w:szCs w:val="24"/>
        </w:rPr>
        <w:t>procurement</w:t>
      </w:r>
      <w:r w:rsidR="00690476" w:rsidRPr="00BC456E">
        <w:rPr>
          <w:rStyle w:val="Lienhypertexte"/>
          <w:rFonts w:ascii="Times New Roman" w:eastAsia="Calibri" w:hAnsi="Times New Roman" w:cs="Times New Roman"/>
          <w:b/>
          <w:bCs/>
          <w:sz w:val="24"/>
          <w:szCs w:val="24"/>
        </w:rPr>
        <w:t>pdacg</w:t>
      </w:r>
      <w:r w:rsidRPr="00BC456E">
        <w:rPr>
          <w:rStyle w:val="Lienhypertexte"/>
          <w:rFonts w:ascii="Times New Roman" w:eastAsia="Calibri" w:hAnsi="Times New Roman" w:cs="Times New Roman"/>
          <w:b/>
          <w:bCs/>
          <w:sz w:val="24"/>
          <w:szCs w:val="24"/>
        </w:rPr>
        <w:t>@</w:t>
      </w:r>
      <w:r w:rsidR="00690476" w:rsidRPr="00BC456E">
        <w:rPr>
          <w:rStyle w:val="Lienhypertexte"/>
          <w:rFonts w:ascii="Times New Roman" w:eastAsia="Calibri" w:hAnsi="Times New Roman" w:cs="Times New Roman"/>
          <w:b/>
          <w:bCs/>
          <w:sz w:val="24"/>
          <w:szCs w:val="24"/>
        </w:rPr>
        <w:t>gmail.com</w:t>
      </w:r>
      <w:r w:rsidRPr="00BC456E">
        <w:rPr>
          <w:rFonts w:ascii="Times New Roman" w:eastAsia="SimSun" w:hAnsi="Times New Roman" w:cs="Times New Roman"/>
          <w:iCs/>
          <w:sz w:val="24"/>
          <w:szCs w:val="24"/>
          <w:lang w:eastAsia="zh-CN"/>
        </w:rPr>
        <w:tab/>
      </w:r>
      <w:r w:rsidRPr="00BC456E">
        <w:rPr>
          <w:rFonts w:ascii="Times New Roman" w:eastAsia="SimSun" w:hAnsi="Times New Roman" w:cs="Times New Roman"/>
          <w:iCs/>
          <w:lang w:eastAsia="zh-CN"/>
        </w:rPr>
        <w:t xml:space="preserve">                 </w:t>
      </w:r>
      <w:r w:rsidRPr="00BC456E">
        <w:rPr>
          <w:rFonts w:ascii="Times New Roman" w:eastAsia="SimSun" w:hAnsi="Times New Roman" w:cs="Times New Roman"/>
          <w:lang w:eastAsia="zh-CN"/>
        </w:rPr>
        <w:t xml:space="preserve">                                                                                                      </w:t>
      </w:r>
      <w:r w:rsidRPr="00BC456E">
        <w:rPr>
          <w:rFonts w:ascii="Times New Roman" w:eastAsia="Times New Roman" w:hAnsi="Times New Roman" w:cs="Times New Roman"/>
          <w:lang w:eastAsia="fr-FR"/>
        </w:rPr>
        <w:t xml:space="preserve">                            </w:t>
      </w:r>
    </w:p>
    <w:p w14:paraId="30D3BFE5" w14:textId="77777777" w:rsidR="001517D1" w:rsidRPr="00BC456E" w:rsidRDefault="001517D1" w:rsidP="00EE5FE8">
      <w:pPr>
        <w:spacing w:after="0" w:line="240" w:lineRule="auto"/>
        <w:jc w:val="center"/>
        <w:rPr>
          <w:rFonts w:ascii="Times New Roman" w:eastAsia="Times New Roman" w:hAnsi="Times New Roman" w:cs="Times New Roman"/>
          <w:sz w:val="24"/>
          <w:szCs w:val="24"/>
          <w:lang w:eastAsia="fr-FR"/>
        </w:rPr>
      </w:pPr>
    </w:p>
    <w:p w14:paraId="22980B77" w14:textId="77777777" w:rsidR="001517D1" w:rsidRPr="00BC456E" w:rsidRDefault="001517D1" w:rsidP="00EE5FE8">
      <w:pPr>
        <w:spacing w:after="0" w:line="240" w:lineRule="auto"/>
        <w:jc w:val="center"/>
        <w:rPr>
          <w:rFonts w:ascii="Times New Roman" w:eastAsia="Times New Roman" w:hAnsi="Times New Roman" w:cs="Times New Roman"/>
          <w:sz w:val="24"/>
          <w:szCs w:val="24"/>
          <w:lang w:eastAsia="fr-FR"/>
        </w:rPr>
      </w:pPr>
    </w:p>
    <w:p w14:paraId="0A396422" w14:textId="69A74601" w:rsidR="00EE5FE8" w:rsidRPr="00BC456E" w:rsidRDefault="00EE5FE8" w:rsidP="00EE5FE8">
      <w:pPr>
        <w:spacing w:after="0" w:line="240" w:lineRule="auto"/>
        <w:jc w:val="center"/>
        <w:rPr>
          <w:rFonts w:ascii="Times New Roman" w:eastAsia="Times New Roman" w:hAnsi="Times New Roman" w:cs="Times New Roman"/>
          <w:sz w:val="24"/>
          <w:szCs w:val="24"/>
          <w:lang w:eastAsia="fr-FR"/>
        </w:rPr>
      </w:pPr>
    </w:p>
    <w:p w14:paraId="2E432D19" w14:textId="67664604" w:rsidR="00F96535" w:rsidRPr="00BC456E" w:rsidRDefault="00F96535" w:rsidP="00EE5FE8">
      <w:pPr>
        <w:spacing w:after="0" w:line="240" w:lineRule="auto"/>
        <w:jc w:val="center"/>
        <w:rPr>
          <w:rFonts w:ascii="Times New Roman" w:eastAsia="Times New Roman" w:hAnsi="Times New Roman" w:cs="Times New Roman"/>
          <w:sz w:val="24"/>
          <w:szCs w:val="24"/>
          <w:lang w:eastAsia="fr-FR"/>
        </w:rPr>
      </w:pPr>
      <w:r w:rsidRPr="00BC456E">
        <w:rPr>
          <w:rFonts w:ascii="Times New Roman" w:eastAsia="Times New Roman" w:hAnsi="Times New Roman" w:cs="Times New Roman"/>
          <w:sz w:val="24"/>
          <w:szCs w:val="24"/>
          <w:lang w:eastAsia="fr-FR"/>
        </w:rPr>
        <w:t xml:space="preserve">Fait à Conakry, le </w:t>
      </w:r>
      <w:r w:rsidR="006F4AEE" w:rsidRPr="00BC456E">
        <w:rPr>
          <w:rFonts w:ascii="Times New Roman" w:eastAsia="Times New Roman" w:hAnsi="Times New Roman" w:cs="Times New Roman"/>
          <w:sz w:val="24"/>
          <w:szCs w:val="24"/>
          <w:lang w:eastAsia="fr-FR"/>
        </w:rPr>
        <w:t>1</w:t>
      </w:r>
      <w:r w:rsidR="00560F90" w:rsidRPr="00BC456E">
        <w:rPr>
          <w:rFonts w:ascii="Times New Roman" w:eastAsia="Times New Roman" w:hAnsi="Times New Roman" w:cs="Times New Roman"/>
          <w:sz w:val="24"/>
          <w:szCs w:val="24"/>
          <w:lang w:eastAsia="fr-FR"/>
        </w:rPr>
        <w:t>3</w:t>
      </w:r>
      <w:r w:rsidR="00CB3FB8" w:rsidRPr="00BC456E">
        <w:rPr>
          <w:rFonts w:ascii="Times New Roman" w:eastAsia="Times New Roman" w:hAnsi="Times New Roman" w:cs="Times New Roman"/>
          <w:sz w:val="24"/>
          <w:szCs w:val="24"/>
          <w:lang w:eastAsia="fr-FR"/>
        </w:rPr>
        <w:t xml:space="preserve"> </w:t>
      </w:r>
      <w:r w:rsidR="006F4AEE" w:rsidRPr="00BC456E">
        <w:rPr>
          <w:rFonts w:ascii="Times New Roman" w:eastAsia="Times New Roman" w:hAnsi="Times New Roman" w:cs="Times New Roman"/>
          <w:sz w:val="24"/>
          <w:szCs w:val="24"/>
          <w:lang w:eastAsia="fr-FR"/>
        </w:rPr>
        <w:t>déc</w:t>
      </w:r>
      <w:r w:rsidR="00CB3FB8" w:rsidRPr="00BC456E">
        <w:rPr>
          <w:rFonts w:ascii="Times New Roman" w:eastAsia="Times New Roman" w:hAnsi="Times New Roman" w:cs="Times New Roman"/>
          <w:sz w:val="24"/>
          <w:szCs w:val="24"/>
          <w:lang w:eastAsia="fr-FR"/>
        </w:rPr>
        <w:t>embre</w:t>
      </w:r>
      <w:r w:rsidRPr="00BC456E">
        <w:rPr>
          <w:rFonts w:ascii="Times New Roman" w:eastAsia="Times New Roman" w:hAnsi="Times New Roman" w:cs="Times New Roman"/>
          <w:sz w:val="24"/>
          <w:szCs w:val="24"/>
          <w:lang w:eastAsia="fr-FR"/>
        </w:rPr>
        <w:t xml:space="preserve"> 2024</w:t>
      </w:r>
    </w:p>
    <w:p w14:paraId="3405BFE8" w14:textId="3323521B" w:rsidR="00F96535" w:rsidRPr="00BC456E" w:rsidRDefault="00F96535" w:rsidP="00EE5FE8">
      <w:pPr>
        <w:tabs>
          <w:tab w:val="left" w:pos="5400"/>
        </w:tabs>
        <w:spacing w:after="0" w:line="240" w:lineRule="auto"/>
        <w:ind w:left="6663" w:hanging="1418"/>
        <w:contextualSpacing/>
        <w:rPr>
          <w:rFonts w:ascii="Times New Roman" w:eastAsia="Times New Roman" w:hAnsi="Times New Roman" w:cs="Times New Roman"/>
          <w:b/>
          <w:sz w:val="24"/>
          <w:szCs w:val="24"/>
          <w:lang w:eastAsia="fr-FR"/>
        </w:rPr>
      </w:pPr>
      <w:r w:rsidRPr="00BC456E">
        <w:rPr>
          <w:rFonts w:ascii="Times New Roman" w:eastAsia="Times New Roman" w:hAnsi="Times New Roman" w:cs="Times New Roman"/>
          <w:sz w:val="24"/>
          <w:szCs w:val="24"/>
          <w:lang w:eastAsia="fr-FR"/>
        </w:rPr>
        <w:t xml:space="preserve">                                                                                                                    </w:t>
      </w:r>
    </w:p>
    <w:p w14:paraId="1F58D51D" w14:textId="77777777" w:rsidR="001517D1" w:rsidRPr="00BC456E" w:rsidRDefault="00F96535"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BC456E">
        <w:rPr>
          <w:rFonts w:ascii="Times New Roman" w:eastAsia="Times New Roman" w:hAnsi="Times New Roman" w:cs="Times New Roman"/>
          <w:b/>
          <w:sz w:val="24"/>
          <w:szCs w:val="24"/>
          <w:lang w:eastAsia="fr-FR"/>
        </w:rPr>
        <w:t xml:space="preserve">                                                           </w:t>
      </w:r>
    </w:p>
    <w:p w14:paraId="16EF87C7" w14:textId="77777777" w:rsidR="001517D1" w:rsidRPr="00BC456E" w:rsidRDefault="001517D1"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51246FD4" w14:textId="2DF479C0" w:rsidR="00EE5FE8" w:rsidRPr="00BC456E" w:rsidRDefault="00F96535"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BC456E">
        <w:rPr>
          <w:rFonts w:ascii="Times New Roman" w:eastAsia="Times New Roman" w:hAnsi="Times New Roman" w:cs="Times New Roman"/>
          <w:b/>
          <w:sz w:val="24"/>
          <w:szCs w:val="24"/>
          <w:lang w:eastAsia="fr-FR"/>
        </w:rPr>
        <w:t xml:space="preserve">       </w:t>
      </w:r>
    </w:p>
    <w:p w14:paraId="02821A73" w14:textId="77777777" w:rsidR="00F52542" w:rsidRPr="00BC456E" w:rsidRDefault="00F52542" w:rsidP="00560F90">
      <w:pPr>
        <w:widowControl w:val="0"/>
        <w:tabs>
          <w:tab w:val="left" w:pos="-720"/>
        </w:tabs>
        <w:suppressAutoHyphens/>
        <w:snapToGrid w:val="0"/>
        <w:spacing w:after="0" w:line="240" w:lineRule="auto"/>
        <w:rPr>
          <w:rFonts w:ascii="Times New Roman" w:eastAsia="Times New Roman" w:hAnsi="Times New Roman" w:cs="Times New Roman"/>
          <w:b/>
          <w:sz w:val="24"/>
          <w:szCs w:val="24"/>
          <w:lang w:eastAsia="fr-FR"/>
        </w:rPr>
      </w:pPr>
    </w:p>
    <w:p w14:paraId="20B19DF7" w14:textId="2F3763E4" w:rsidR="00F96535" w:rsidRPr="00BC456E" w:rsidRDefault="00B23AD2" w:rsidP="00EE5FE8">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u w:val="single"/>
          <w:lang w:eastAsia="fr-FR"/>
        </w:rPr>
      </w:pPr>
      <w:r w:rsidRPr="00BC456E">
        <w:rPr>
          <w:rFonts w:ascii="Times New Roman" w:eastAsia="Times New Roman" w:hAnsi="Times New Roman" w:cs="Times New Roman"/>
          <w:b/>
          <w:sz w:val="24"/>
          <w:szCs w:val="24"/>
          <w:u w:val="single"/>
          <w:lang w:eastAsia="fr-FR"/>
        </w:rPr>
        <w:t>Hamidou DIALLO</w:t>
      </w:r>
    </w:p>
    <w:p w14:paraId="51D8A74E" w14:textId="753DB54C" w:rsidR="00F96535" w:rsidRPr="001E3004" w:rsidRDefault="00F96535" w:rsidP="00EE5FE8">
      <w:pPr>
        <w:widowControl w:val="0"/>
        <w:tabs>
          <w:tab w:val="left" w:pos="-720"/>
        </w:tabs>
        <w:suppressAutoHyphens/>
        <w:snapToGrid w:val="0"/>
        <w:spacing w:after="0" w:line="240" w:lineRule="auto"/>
        <w:jc w:val="center"/>
        <w:rPr>
          <w:rFonts w:ascii="Times New Roman" w:hAnsi="Times New Roman" w:cs="Times New Roman"/>
          <w:b/>
          <w:szCs w:val="24"/>
        </w:rPr>
      </w:pPr>
      <w:r w:rsidRPr="00BC456E">
        <w:rPr>
          <w:rFonts w:ascii="Times New Roman" w:eastAsia="Times New Roman" w:hAnsi="Times New Roman" w:cs="Times New Roman"/>
          <w:b/>
          <w:sz w:val="24"/>
          <w:szCs w:val="24"/>
          <w:lang w:eastAsia="fr-FR"/>
        </w:rPr>
        <w:t xml:space="preserve"> </w:t>
      </w:r>
      <w:r w:rsidR="00B23AD2" w:rsidRPr="00BC456E">
        <w:rPr>
          <w:rFonts w:ascii="Times New Roman" w:eastAsia="Times New Roman" w:hAnsi="Times New Roman" w:cs="Times New Roman"/>
          <w:b/>
          <w:sz w:val="24"/>
          <w:szCs w:val="24"/>
          <w:lang w:eastAsia="fr-FR"/>
        </w:rPr>
        <w:t xml:space="preserve">Coordonnateur National du </w:t>
      </w:r>
      <w:r w:rsidR="007F61BB" w:rsidRPr="00BC456E">
        <w:rPr>
          <w:rFonts w:ascii="Times New Roman" w:eastAsia="Times New Roman" w:hAnsi="Times New Roman" w:cs="Times New Roman"/>
          <w:b/>
          <w:sz w:val="24"/>
          <w:szCs w:val="24"/>
          <w:lang w:eastAsia="fr-FR"/>
        </w:rPr>
        <w:t>PDACG</w:t>
      </w:r>
      <w:r w:rsidRPr="00236B7A">
        <w:rPr>
          <w:rFonts w:ascii="Times New Roman" w:eastAsia="Times New Roman" w:hAnsi="Times New Roman" w:cs="Times New Roman"/>
          <w:b/>
          <w:sz w:val="24"/>
          <w:szCs w:val="24"/>
          <w:lang w:eastAsia="fr-FR"/>
        </w:rPr>
        <w:t xml:space="preserve"> </w:t>
      </w:r>
    </w:p>
    <w:sectPr w:rsidR="00F96535" w:rsidRPr="001E3004" w:rsidSect="00490739">
      <w:headerReference w:type="default" r:id="rId14"/>
      <w:footerReference w:type="first" r:id="rId15"/>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37C7" w14:textId="77777777" w:rsidR="00792A10" w:rsidRDefault="00792A10" w:rsidP="003A5C8F">
      <w:pPr>
        <w:spacing w:after="0" w:line="240" w:lineRule="auto"/>
      </w:pPr>
      <w:r>
        <w:separator/>
      </w:r>
    </w:p>
  </w:endnote>
  <w:endnote w:type="continuationSeparator" w:id="0">
    <w:p w14:paraId="0301C1A1" w14:textId="77777777" w:rsidR="00792A10" w:rsidRDefault="00792A10"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4859"/>
      <w:docPartObj>
        <w:docPartGallery w:val="Page Numbers (Bottom of Page)"/>
        <w:docPartUnique/>
      </w:docPartObj>
    </w:sdtPr>
    <w:sdtEndPr/>
    <w:sdtContent>
      <w:p w14:paraId="292EE2AF" w14:textId="2F3781A2" w:rsidR="000D3069" w:rsidRDefault="000D3069">
        <w:pPr>
          <w:pStyle w:val="Pieddepage"/>
        </w:pPr>
        <w:r w:rsidRPr="000D3069">
          <w:rPr>
            <w:caps/>
            <w:noProof/>
            <w:color w:val="4F81BD" w:themeColor="accent1"/>
          </w:rPr>
          <mc:AlternateContent>
            <mc:Choice Requires="wps">
              <w:drawing>
                <wp:anchor distT="0" distB="0" distL="114300" distR="114300" simplePos="0" relativeHeight="251659264" behindDoc="0" locked="0" layoutInCell="0" allowOverlap="1" wp14:anchorId="076F646C" wp14:editId="549E0A5A">
                  <wp:simplePos x="0" y="0"/>
                  <wp:positionH relativeFrom="rightMargin">
                    <wp:align>left</wp:align>
                  </wp:positionH>
                  <mc:AlternateContent>
                    <mc:Choice Requires="wp14">
                      <wp:positionV relativeFrom="bottomMargin">
                        <wp14:pctPosVOffset>7000</wp14:pctPosVOffset>
                      </wp:positionV>
                    </mc:Choice>
                    <mc:Fallback>
                      <wp:positionV relativeFrom="page">
                        <wp:posOffset>9377680</wp:posOffset>
                      </wp:positionV>
                    </mc:Fallback>
                  </mc:AlternateContent>
                  <wp:extent cx="368300" cy="274320"/>
                  <wp:effectExtent l="9525" t="9525" r="12700" b="11430"/>
                  <wp:wrapNone/>
                  <wp:docPr id="1938269300"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64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E9C73" w14:textId="77777777" w:rsidR="00792A10" w:rsidRDefault="00792A10" w:rsidP="003A5C8F">
      <w:pPr>
        <w:spacing w:after="0" w:line="240" w:lineRule="auto"/>
      </w:pPr>
      <w:r>
        <w:separator/>
      </w:r>
    </w:p>
  </w:footnote>
  <w:footnote w:type="continuationSeparator" w:id="0">
    <w:p w14:paraId="5314450D" w14:textId="77777777" w:rsidR="00792A10" w:rsidRDefault="00792A10"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p w14:paraId="0B7C2E8B" w14:textId="77777777" w:rsidR="00367077" w:rsidRDefault="00367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000040C"/>
    <w:multiLevelType w:val="multilevel"/>
    <w:tmpl w:val="0000088F"/>
    <w:lvl w:ilvl="0">
      <w:start w:val="1"/>
      <w:numFmt w:val="lowerLetter"/>
      <w:lvlText w:val="(%1)"/>
      <w:lvlJc w:val="left"/>
      <w:pPr>
        <w:ind w:left="116" w:hanging="358"/>
      </w:pPr>
      <w:rPr>
        <w:b w:val="0"/>
        <w:bCs w:val="0"/>
        <w:spacing w:val="-30"/>
        <w:w w:val="99"/>
      </w:rPr>
    </w:lvl>
    <w:lvl w:ilvl="1">
      <w:numFmt w:val="bullet"/>
      <w:lvlText w:val="•"/>
      <w:lvlJc w:val="left"/>
      <w:pPr>
        <w:ind w:left="1038" w:hanging="358"/>
      </w:pPr>
    </w:lvl>
    <w:lvl w:ilvl="2">
      <w:numFmt w:val="bullet"/>
      <w:lvlText w:val="•"/>
      <w:lvlJc w:val="left"/>
      <w:pPr>
        <w:ind w:left="1957" w:hanging="358"/>
      </w:pPr>
    </w:lvl>
    <w:lvl w:ilvl="3">
      <w:numFmt w:val="bullet"/>
      <w:lvlText w:val="•"/>
      <w:lvlJc w:val="left"/>
      <w:pPr>
        <w:ind w:left="2875" w:hanging="358"/>
      </w:pPr>
    </w:lvl>
    <w:lvl w:ilvl="4">
      <w:numFmt w:val="bullet"/>
      <w:lvlText w:val="•"/>
      <w:lvlJc w:val="left"/>
      <w:pPr>
        <w:ind w:left="3794" w:hanging="358"/>
      </w:pPr>
    </w:lvl>
    <w:lvl w:ilvl="5">
      <w:numFmt w:val="bullet"/>
      <w:lvlText w:val="•"/>
      <w:lvlJc w:val="left"/>
      <w:pPr>
        <w:ind w:left="4713" w:hanging="358"/>
      </w:pPr>
    </w:lvl>
    <w:lvl w:ilvl="6">
      <w:numFmt w:val="bullet"/>
      <w:lvlText w:val="•"/>
      <w:lvlJc w:val="left"/>
      <w:pPr>
        <w:ind w:left="5631" w:hanging="358"/>
      </w:pPr>
    </w:lvl>
    <w:lvl w:ilvl="7">
      <w:numFmt w:val="bullet"/>
      <w:lvlText w:val="•"/>
      <w:lvlJc w:val="left"/>
      <w:pPr>
        <w:ind w:left="6550" w:hanging="358"/>
      </w:pPr>
    </w:lvl>
    <w:lvl w:ilvl="8">
      <w:numFmt w:val="bullet"/>
      <w:lvlText w:val="•"/>
      <w:lvlJc w:val="left"/>
      <w:pPr>
        <w:ind w:left="7469" w:hanging="358"/>
      </w:pPr>
    </w:lvl>
  </w:abstractNum>
  <w:abstractNum w:abstractNumId="2"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2072B"/>
    <w:multiLevelType w:val="hybridMultilevel"/>
    <w:tmpl w:val="6B5C3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BAD62A1"/>
    <w:multiLevelType w:val="hybridMultilevel"/>
    <w:tmpl w:val="8EBC430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24E807CE"/>
    <w:multiLevelType w:val="hybridMultilevel"/>
    <w:tmpl w:val="5A64396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F46D2"/>
    <w:multiLevelType w:val="hybridMultilevel"/>
    <w:tmpl w:val="A0C2B6E0"/>
    <w:lvl w:ilvl="0" w:tplc="CF64E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C739F"/>
    <w:multiLevelType w:val="multilevel"/>
    <w:tmpl w:val="393C739F"/>
    <w:lvl w:ilvl="0">
      <w:start w:val="1"/>
      <w:numFmt w:val="upperRoman"/>
      <w:lvlText w:val="%1-"/>
      <w:lvlJc w:val="left"/>
      <w:pPr>
        <w:ind w:left="780" w:hanging="72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15:restartNumberingAfterBreak="0">
    <w:nsid w:val="3B85160B"/>
    <w:multiLevelType w:val="hybridMultilevel"/>
    <w:tmpl w:val="9DC40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B1B0B26"/>
    <w:multiLevelType w:val="hybridMultilevel"/>
    <w:tmpl w:val="AB986DF6"/>
    <w:lvl w:ilvl="0" w:tplc="DA3011E4">
      <w:start w:val="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224E9A"/>
    <w:multiLevelType w:val="hybridMultilevel"/>
    <w:tmpl w:val="46A80D4A"/>
    <w:lvl w:ilvl="0" w:tplc="384E7384">
      <w:numFmt w:val="bullet"/>
      <w:lvlText w:val="-"/>
      <w:lvlJc w:val="left"/>
      <w:pPr>
        <w:ind w:left="988" w:hanging="284"/>
      </w:pPr>
      <w:rPr>
        <w:rFonts w:ascii="Calibri" w:eastAsia="Calibri" w:hAnsi="Calibri" w:cs="Calibri" w:hint="default"/>
        <w:b w:val="0"/>
        <w:bCs w:val="0"/>
        <w:i w:val="0"/>
        <w:iCs w:val="0"/>
        <w:w w:val="100"/>
        <w:sz w:val="24"/>
        <w:szCs w:val="24"/>
        <w:lang w:val="fr-FR" w:eastAsia="en-US" w:bidi="ar-SA"/>
      </w:rPr>
    </w:lvl>
    <w:lvl w:ilvl="1" w:tplc="011E5CC2">
      <w:numFmt w:val="bullet"/>
      <w:lvlText w:val="•"/>
      <w:lvlJc w:val="left"/>
      <w:pPr>
        <w:ind w:left="1817" w:hanging="284"/>
      </w:pPr>
      <w:rPr>
        <w:rFonts w:hint="default"/>
        <w:lang w:val="fr-FR" w:eastAsia="en-US" w:bidi="ar-SA"/>
      </w:rPr>
    </w:lvl>
    <w:lvl w:ilvl="2" w:tplc="EC82C7E2">
      <w:numFmt w:val="bullet"/>
      <w:lvlText w:val="•"/>
      <w:lvlJc w:val="left"/>
      <w:pPr>
        <w:ind w:left="2654" w:hanging="284"/>
      </w:pPr>
      <w:rPr>
        <w:rFonts w:hint="default"/>
        <w:lang w:val="fr-FR" w:eastAsia="en-US" w:bidi="ar-SA"/>
      </w:rPr>
    </w:lvl>
    <w:lvl w:ilvl="3" w:tplc="BCCECEE0">
      <w:numFmt w:val="bullet"/>
      <w:lvlText w:val="•"/>
      <w:lvlJc w:val="left"/>
      <w:pPr>
        <w:ind w:left="3491" w:hanging="284"/>
      </w:pPr>
      <w:rPr>
        <w:rFonts w:hint="default"/>
        <w:lang w:val="fr-FR" w:eastAsia="en-US" w:bidi="ar-SA"/>
      </w:rPr>
    </w:lvl>
    <w:lvl w:ilvl="4" w:tplc="FC969436">
      <w:numFmt w:val="bullet"/>
      <w:lvlText w:val="•"/>
      <w:lvlJc w:val="left"/>
      <w:pPr>
        <w:ind w:left="4328" w:hanging="284"/>
      </w:pPr>
      <w:rPr>
        <w:rFonts w:hint="default"/>
        <w:lang w:val="fr-FR" w:eastAsia="en-US" w:bidi="ar-SA"/>
      </w:rPr>
    </w:lvl>
    <w:lvl w:ilvl="5" w:tplc="7B305616">
      <w:numFmt w:val="bullet"/>
      <w:lvlText w:val="•"/>
      <w:lvlJc w:val="left"/>
      <w:pPr>
        <w:ind w:left="5165" w:hanging="284"/>
      </w:pPr>
      <w:rPr>
        <w:rFonts w:hint="default"/>
        <w:lang w:val="fr-FR" w:eastAsia="en-US" w:bidi="ar-SA"/>
      </w:rPr>
    </w:lvl>
    <w:lvl w:ilvl="6" w:tplc="F95CD0DC">
      <w:numFmt w:val="bullet"/>
      <w:lvlText w:val="•"/>
      <w:lvlJc w:val="left"/>
      <w:pPr>
        <w:ind w:left="6002" w:hanging="284"/>
      </w:pPr>
      <w:rPr>
        <w:rFonts w:hint="default"/>
        <w:lang w:val="fr-FR" w:eastAsia="en-US" w:bidi="ar-SA"/>
      </w:rPr>
    </w:lvl>
    <w:lvl w:ilvl="7" w:tplc="1D26AEFC">
      <w:numFmt w:val="bullet"/>
      <w:lvlText w:val="•"/>
      <w:lvlJc w:val="left"/>
      <w:pPr>
        <w:ind w:left="6839" w:hanging="284"/>
      </w:pPr>
      <w:rPr>
        <w:rFonts w:hint="default"/>
        <w:lang w:val="fr-FR" w:eastAsia="en-US" w:bidi="ar-SA"/>
      </w:rPr>
    </w:lvl>
    <w:lvl w:ilvl="8" w:tplc="A2841CB8">
      <w:numFmt w:val="bullet"/>
      <w:lvlText w:val="•"/>
      <w:lvlJc w:val="left"/>
      <w:pPr>
        <w:ind w:left="7676" w:hanging="284"/>
      </w:pPr>
      <w:rPr>
        <w:rFonts w:hint="default"/>
        <w:lang w:val="fr-FR" w:eastAsia="en-US" w:bidi="ar-SA"/>
      </w:rPr>
    </w:lvl>
  </w:abstractNum>
  <w:abstractNum w:abstractNumId="15"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 w15:restartNumberingAfterBreak="0">
    <w:nsid w:val="534711E0"/>
    <w:multiLevelType w:val="hybridMultilevel"/>
    <w:tmpl w:val="3A26482A"/>
    <w:lvl w:ilvl="0" w:tplc="8E549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46C08"/>
    <w:multiLevelType w:val="hybridMultilevel"/>
    <w:tmpl w:val="8F2AD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B0E97"/>
    <w:multiLevelType w:val="hybridMultilevel"/>
    <w:tmpl w:val="ADF061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621553D"/>
    <w:multiLevelType w:val="hybridMultilevel"/>
    <w:tmpl w:val="E752B076"/>
    <w:lvl w:ilvl="0" w:tplc="FFC825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9066C"/>
    <w:multiLevelType w:val="hybridMultilevel"/>
    <w:tmpl w:val="F88EFB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112974"/>
    <w:multiLevelType w:val="hybridMultilevel"/>
    <w:tmpl w:val="0CB4D52C"/>
    <w:lvl w:ilvl="0" w:tplc="1C30B7F0">
      <w:start w:val="1"/>
      <w:numFmt w:val="bullet"/>
      <w:lvlText w:val="-"/>
      <w:lvlJc w:val="left"/>
      <w:pPr>
        <w:ind w:left="1068" w:hanging="360"/>
      </w:pPr>
      <w:rPr>
        <w:rFonts w:ascii="Times New Roman" w:eastAsia="Times New Roman" w:hAnsi="Times New Roman" w:cs="Times New Roman" w:hint="default"/>
      </w:rPr>
    </w:lvl>
    <w:lvl w:ilvl="1" w:tplc="04090017">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B7E03B8"/>
    <w:multiLevelType w:val="hybridMultilevel"/>
    <w:tmpl w:val="D0BEB692"/>
    <w:lvl w:ilvl="0" w:tplc="8758DC2C">
      <w:start w:val="1"/>
      <w:numFmt w:val="decimal"/>
      <w:lvlText w:val="%1."/>
      <w:lvlJc w:val="left"/>
      <w:pPr>
        <w:ind w:left="360" w:hanging="360"/>
      </w:pPr>
      <w:rPr>
        <w:rFonts w:hint="default"/>
        <w:b/>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24726A"/>
    <w:multiLevelType w:val="hybridMultilevel"/>
    <w:tmpl w:val="5E88257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B10AC6"/>
    <w:multiLevelType w:val="hybridMultilevel"/>
    <w:tmpl w:val="37644984"/>
    <w:lvl w:ilvl="0" w:tplc="040C0017">
      <w:start w:val="1"/>
      <w:numFmt w:val="bullet"/>
      <w:lvlText w:val=""/>
      <w:lvlJc w:val="left"/>
      <w:pPr>
        <w:ind w:left="456" w:hanging="360"/>
      </w:pPr>
      <w:rPr>
        <w:rFonts w:ascii="Symbol" w:hAnsi="Symbol" w:hint="default"/>
        <w:color w:val="16211B"/>
      </w:rPr>
    </w:lvl>
    <w:lvl w:ilvl="1" w:tplc="040C0019" w:tentative="1">
      <w:start w:val="1"/>
      <w:numFmt w:val="bullet"/>
      <w:lvlText w:val="o"/>
      <w:lvlJc w:val="left"/>
      <w:pPr>
        <w:ind w:left="1176" w:hanging="360"/>
      </w:pPr>
      <w:rPr>
        <w:rFonts w:ascii="Courier New" w:hAnsi="Courier New" w:cs="Courier New" w:hint="default"/>
      </w:rPr>
    </w:lvl>
    <w:lvl w:ilvl="2" w:tplc="040C001B" w:tentative="1">
      <w:start w:val="1"/>
      <w:numFmt w:val="bullet"/>
      <w:lvlText w:val=""/>
      <w:lvlJc w:val="left"/>
      <w:pPr>
        <w:ind w:left="1896" w:hanging="360"/>
      </w:pPr>
      <w:rPr>
        <w:rFonts w:ascii="Wingdings" w:hAnsi="Wingdings" w:hint="default"/>
      </w:rPr>
    </w:lvl>
    <w:lvl w:ilvl="3" w:tplc="040C000F" w:tentative="1">
      <w:start w:val="1"/>
      <w:numFmt w:val="bullet"/>
      <w:lvlText w:val=""/>
      <w:lvlJc w:val="left"/>
      <w:pPr>
        <w:ind w:left="2616" w:hanging="360"/>
      </w:pPr>
      <w:rPr>
        <w:rFonts w:ascii="Symbol" w:hAnsi="Symbol" w:hint="default"/>
      </w:rPr>
    </w:lvl>
    <w:lvl w:ilvl="4" w:tplc="040C0019" w:tentative="1">
      <w:start w:val="1"/>
      <w:numFmt w:val="bullet"/>
      <w:lvlText w:val="o"/>
      <w:lvlJc w:val="left"/>
      <w:pPr>
        <w:ind w:left="3336" w:hanging="360"/>
      </w:pPr>
      <w:rPr>
        <w:rFonts w:ascii="Courier New" w:hAnsi="Courier New" w:cs="Courier New" w:hint="default"/>
      </w:rPr>
    </w:lvl>
    <w:lvl w:ilvl="5" w:tplc="040C001B" w:tentative="1">
      <w:start w:val="1"/>
      <w:numFmt w:val="bullet"/>
      <w:lvlText w:val=""/>
      <w:lvlJc w:val="left"/>
      <w:pPr>
        <w:ind w:left="4056" w:hanging="360"/>
      </w:pPr>
      <w:rPr>
        <w:rFonts w:ascii="Wingdings" w:hAnsi="Wingdings" w:hint="default"/>
      </w:rPr>
    </w:lvl>
    <w:lvl w:ilvl="6" w:tplc="040C000F" w:tentative="1">
      <w:start w:val="1"/>
      <w:numFmt w:val="bullet"/>
      <w:lvlText w:val=""/>
      <w:lvlJc w:val="left"/>
      <w:pPr>
        <w:ind w:left="4776" w:hanging="360"/>
      </w:pPr>
      <w:rPr>
        <w:rFonts w:ascii="Symbol" w:hAnsi="Symbol" w:hint="default"/>
      </w:rPr>
    </w:lvl>
    <w:lvl w:ilvl="7" w:tplc="040C0019" w:tentative="1">
      <w:start w:val="1"/>
      <w:numFmt w:val="bullet"/>
      <w:lvlText w:val="o"/>
      <w:lvlJc w:val="left"/>
      <w:pPr>
        <w:ind w:left="5496" w:hanging="360"/>
      </w:pPr>
      <w:rPr>
        <w:rFonts w:ascii="Courier New" w:hAnsi="Courier New" w:cs="Courier New" w:hint="default"/>
      </w:rPr>
    </w:lvl>
    <w:lvl w:ilvl="8" w:tplc="040C001B" w:tentative="1">
      <w:start w:val="1"/>
      <w:numFmt w:val="bullet"/>
      <w:lvlText w:val=""/>
      <w:lvlJc w:val="left"/>
      <w:pPr>
        <w:ind w:left="6216" w:hanging="360"/>
      </w:pPr>
      <w:rPr>
        <w:rFonts w:ascii="Wingdings" w:hAnsi="Wingdings" w:hint="default"/>
      </w:rPr>
    </w:lvl>
  </w:abstractNum>
  <w:abstractNum w:abstractNumId="2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7" w15:restartNumberingAfterBreak="0">
    <w:nsid w:val="7FC752FB"/>
    <w:multiLevelType w:val="multilevel"/>
    <w:tmpl w:val="7FC752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2078729">
    <w:abstractNumId w:val="2"/>
  </w:num>
  <w:num w:numId="2" w16cid:durableId="643196562">
    <w:abstractNumId w:val="8"/>
  </w:num>
  <w:num w:numId="3" w16cid:durableId="981812256">
    <w:abstractNumId w:val="12"/>
  </w:num>
  <w:num w:numId="4" w16cid:durableId="7024963">
    <w:abstractNumId w:val="26"/>
  </w:num>
  <w:num w:numId="5" w16cid:durableId="1605502158">
    <w:abstractNumId w:val="16"/>
  </w:num>
  <w:num w:numId="6" w16cid:durableId="300960384">
    <w:abstractNumId w:val="5"/>
  </w:num>
  <w:num w:numId="7" w16cid:durableId="2082946273">
    <w:abstractNumId w:val="0"/>
  </w:num>
  <w:num w:numId="8" w16cid:durableId="320623959">
    <w:abstractNumId w:val="9"/>
  </w:num>
  <w:num w:numId="9" w16cid:durableId="520434948">
    <w:abstractNumId w:val="20"/>
  </w:num>
  <w:num w:numId="10" w16cid:durableId="1747994061">
    <w:abstractNumId w:val="3"/>
  </w:num>
  <w:num w:numId="11" w16cid:durableId="444155193">
    <w:abstractNumId w:val="15"/>
  </w:num>
  <w:num w:numId="12" w16cid:durableId="67964323">
    <w:abstractNumId w:val="22"/>
  </w:num>
  <w:num w:numId="13" w16cid:durableId="1672755183">
    <w:abstractNumId w:val="11"/>
  </w:num>
  <w:num w:numId="14" w16cid:durableId="1267880629">
    <w:abstractNumId w:val="1"/>
  </w:num>
  <w:num w:numId="15" w16cid:durableId="1491403351">
    <w:abstractNumId w:val="13"/>
  </w:num>
  <w:num w:numId="16" w16cid:durableId="547179492">
    <w:abstractNumId w:val="21"/>
  </w:num>
  <w:num w:numId="17" w16cid:durableId="801770924">
    <w:abstractNumId w:val="19"/>
  </w:num>
  <w:num w:numId="18" w16cid:durableId="605308960">
    <w:abstractNumId w:val="24"/>
  </w:num>
  <w:num w:numId="19" w16cid:durableId="1192261869">
    <w:abstractNumId w:val="7"/>
  </w:num>
  <w:num w:numId="20" w16cid:durableId="1732120349">
    <w:abstractNumId w:val="4"/>
  </w:num>
  <w:num w:numId="21" w16cid:durableId="1793672722">
    <w:abstractNumId w:val="10"/>
  </w:num>
  <w:num w:numId="22" w16cid:durableId="1386106168">
    <w:abstractNumId w:val="27"/>
  </w:num>
  <w:num w:numId="23" w16cid:durableId="76178054">
    <w:abstractNumId w:val="14"/>
  </w:num>
  <w:num w:numId="24" w16cid:durableId="316344192">
    <w:abstractNumId w:val="18"/>
  </w:num>
  <w:num w:numId="25" w16cid:durableId="464472592">
    <w:abstractNumId w:val="23"/>
  </w:num>
  <w:num w:numId="26" w16cid:durableId="887109083">
    <w:abstractNumId w:val="17"/>
  </w:num>
  <w:num w:numId="27" w16cid:durableId="751439218">
    <w:abstractNumId w:val="6"/>
  </w:num>
  <w:num w:numId="28" w16cid:durableId="12374172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0218C"/>
    <w:rsid w:val="00014452"/>
    <w:rsid w:val="00023621"/>
    <w:rsid w:val="000339DE"/>
    <w:rsid w:val="0003497B"/>
    <w:rsid w:val="00040A58"/>
    <w:rsid w:val="00046182"/>
    <w:rsid w:val="00047EAC"/>
    <w:rsid w:val="0005418B"/>
    <w:rsid w:val="00056A9D"/>
    <w:rsid w:val="00063418"/>
    <w:rsid w:val="00064694"/>
    <w:rsid w:val="000653A0"/>
    <w:rsid w:val="000744CC"/>
    <w:rsid w:val="0008228C"/>
    <w:rsid w:val="00090E8F"/>
    <w:rsid w:val="00096FFD"/>
    <w:rsid w:val="000A205C"/>
    <w:rsid w:val="000B2CC1"/>
    <w:rsid w:val="000B49A5"/>
    <w:rsid w:val="000C2E62"/>
    <w:rsid w:val="000C2F2D"/>
    <w:rsid w:val="000C2F38"/>
    <w:rsid w:val="000C5A13"/>
    <w:rsid w:val="000D3069"/>
    <w:rsid w:val="000D3E36"/>
    <w:rsid w:val="000D5982"/>
    <w:rsid w:val="000D6BFD"/>
    <w:rsid w:val="000D6F7F"/>
    <w:rsid w:val="000F1232"/>
    <w:rsid w:val="000F4D4D"/>
    <w:rsid w:val="00100A83"/>
    <w:rsid w:val="00100EB8"/>
    <w:rsid w:val="00112DA3"/>
    <w:rsid w:val="00112E73"/>
    <w:rsid w:val="00117CEA"/>
    <w:rsid w:val="001203CA"/>
    <w:rsid w:val="00122C2A"/>
    <w:rsid w:val="00137D7D"/>
    <w:rsid w:val="001425D6"/>
    <w:rsid w:val="0014662B"/>
    <w:rsid w:val="00146884"/>
    <w:rsid w:val="001472B6"/>
    <w:rsid w:val="0014736C"/>
    <w:rsid w:val="00147D6F"/>
    <w:rsid w:val="001517D1"/>
    <w:rsid w:val="00155130"/>
    <w:rsid w:val="0015757A"/>
    <w:rsid w:val="001576CD"/>
    <w:rsid w:val="00161DA1"/>
    <w:rsid w:val="00164431"/>
    <w:rsid w:val="00171166"/>
    <w:rsid w:val="0017541C"/>
    <w:rsid w:val="00175EFE"/>
    <w:rsid w:val="00181126"/>
    <w:rsid w:val="0018491B"/>
    <w:rsid w:val="00184CC0"/>
    <w:rsid w:val="00186636"/>
    <w:rsid w:val="00186B37"/>
    <w:rsid w:val="00187B20"/>
    <w:rsid w:val="001900F7"/>
    <w:rsid w:val="00191215"/>
    <w:rsid w:val="00192E90"/>
    <w:rsid w:val="001967D2"/>
    <w:rsid w:val="001A14B4"/>
    <w:rsid w:val="001A7EC0"/>
    <w:rsid w:val="001B5590"/>
    <w:rsid w:val="001B71F9"/>
    <w:rsid w:val="001C26A8"/>
    <w:rsid w:val="001C4C09"/>
    <w:rsid w:val="001C58C0"/>
    <w:rsid w:val="001D10FE"/>
    <w:rsid w:val="001D320E"/>
    <w:rsid w:val="001D4F1A"/>
    <w:rsid w:val="001E0266"/>
    <w:rsid w:val="001E3004"/>
    <w:rsid w:val="001E5611"/>
    <w:rsid w:val="001E7BD1"/>
    <w:rsid w:val="001F01FD"/>
    <w:rsid w:val="001F25B4"/>
    <w:rsid w:val="001F6B13"/>
    <w:rsid w:val="001F736D"/>
    <w:rsid w:val="001F7D99"/>
    <w:rsid w:val="0020437E"/>
    <w:rsid w:val="00204C5B"/>
    <w:rsid w:val="00205C42"/>
    <w:rsid w:val="0021339D"/>
    <w:rsid w:val="00216EC4"/>
    <w:rsid w:val="00220355"/>
    <w:rsid w:val="002204FE"/>
    <w:rsid w:val="00221E8B"/>
    <w:rsid w:val="002236A8"/>
    <w:rsid w:val="00230F93"/>
    <w:rsid w:val="00233E66"/>
    <w:rsid w:val="002415FC"/>
    <w:rsid w:val="00241B65"/>
    <w:rsid w:val="00242194"/>
    <w:rsid w:val="00244D56"/>
    <w:rsid w:val="0025405F"/>
    <w:rsid w:val="002543AF"/>
    <w:rsid w:val="00256E3D"/>
    <w:rsid w:val="0026577F"/>
    <w:rsid w:val="00266B42"/>
    <w:rsid w:val="00274D2F"/>
    <w:rsid w:val="00280192"/>
    <w:rsid w:val="00283362"/>
    <w:rsid w:val="00285E7D"/>
    <w:rsid w:val="002874D5"/>
    <w:rsid w:val="0029658F"/>
    <w:rsid w:val="002A129B"/>
    <w:rsid w:val="002A635E"/>
    <w:rsid w:val="002A7DCB"/>
    <w:rsid w:val="002B123C"/>
    <w:rsid w:val="002C30B7"/>
    <w:rsid w:val="002C5DA9"/>
    <w:rsid w:val="002D1A29"/>
    <w:rsid w:val="002D33ED"/>
    <w:rsid w:val="002D7A45"/>
    <w:rsid w:val="002E76DF"/>
    <w:rsid w:val="002F1D76"/>
    <w:rsid w:val="003012DD"/>
    <w:rsid w:val="0030773D"/>
    <w:rsid w:val="003238B2"/>
    <w:rsid w:val="003250C5"/>
    <w:rsid w:val="003260E7"/>
    <w:rsid w:val="0033604F"/>
    <w:rsid w:val="003376E4"/>
    <w:rsid w:val="003455FC"/>
    <w:rsid w:val="003469A5"/>
    <w:rsid w:val="0035204F"/>
    <w:rsid w:val="00352D68"/>
    <w:rsid w:val="003611B9"/>
    <w:rsid w:val="0036629A"/>
    <w:rsid w:val="00367077"/>
    <w:rsid w:val="00382B28"/>
    <w:rsid w:val="00387112"/>
    <w:rsid w:val="00392BB5"/>
    <w:rsid w:val="00395C2A"/>
    <w:rsid w:val="00395C40"/>
    <w:rsid w:val="00395D72"/>
    <w:rsid w:val="003A137D"/>
    <w:rsid w:val="003A5C8F"/>
    <w:rsid w:val="003A72E8"/>
    <w:rsid w:val="003B12F1"/>
    <w:rsid w:val="003B176D"/>
    <w:rsid w:val="003B2303"/>
    <w:rsid w:val="003B49EB"/>
    <w:rsid w:val="003B5556"/>
    <w:rsid w:val="003C1D43"/>
    <w:rsid w:val="003C1E8E"/>
    <w:rsid w:val="003C3724"/>
    <w:rsid w:val="003C3F8C"/>
    <w:rsid w:val="003C4549"/>
    <w:rsid w:val="003C6BA3"/>
    <w:rsid w:val="003C6D97"/>
    <w:rsid w:val="003D2259"/>
    <w:rsid w:val="003D3F56"/>
    <w:rsid w:val="003D5B27"/>
    <w:rsid w:val="003D64A7"/>
    <w:rsid w:val="003D7DF2"/>
    <w:rsid w:val="003E41D6"/>
    <w:rsid w:val="003F4AA8"/>
    <w:rsid w:val="0040078B"/>
    <w:rsid w:val="004008FA"/>
    <w:rsid w:val="004034F1"/>
    <w:rsid w:val="00403DEE"/>
    <w:rsid w:val="0040714B"/>
    <w:rsid w:val="00407A5A"/>
    <w:rsid w:val="00413E8A"/>
    <w:rsid w:val="00414FFA"/>
    <w:rsid w:val="00423712"/>
    <w:rsid w:val="0042434D"/>
    <w:rsid w:val="004250F4"/>
    <w:rsid w:val="0043336B"/>
    <w:rsid w:val="00435F22"/>
    <w:rsid w:val="00442618"/>
    <w:rsid w:val="004463CB"/>
    <w:rsid w:val="00450678"/>
    <w:rsid w:val="004520CC"/>
    <w:rsid w:val="00453A43"/>
    <w:rsid w:val="00455005"/>
    <w:rsid w:val="00463FEE"/>
    <w:rsid w:val="00464120"/>
    <w:rsid w:val="004650B0"/>
    <w:rsid w:val="00475A2D"/>
    <w:rsid w:val="00480E74"/>
    <w:rsid w:val="004837C0"/>
    <w:rsid w:val="00484BFD"/>
    <w:rsid w:val="00484FAF"/>
    <w:rsid w:val="00490739"/>
    <w:rsid w:val="00491914"/>
    <w:rsid w:val="00492E1C"/>
    <w:rsid w:val="004931D9"/>
    <w:rsid w:val="00495DDB"/>
    <w:rsid w:val="00496DA5"/>
    <w:rsid w:val="004A255A"/>
    <w:rsid w:val="004A71B2"/>
    <w:rsid w:val="004B0BD4"/>
    <w:rsid w:val="004B0F93"/>
    <w:rsid w:val="004B7497"/>
    <w:rsid w:val="004D114E"/>
    <w:rsid w:val="004D19E9"/>
    <w:rsid w:val="004D27ED"/>
    <w:rsid w:val="004D7D51"/>
    <w:rsid w:val="004E19C1"/>
    <w:rsid w:val="004E52B7"/>
    <w:rsid w:val="004E70FA"/>
    <w:rsid w:val="004E7A9E"/>
    <w:rsid w:val="004F4710"/>
    <w:rsid w:val="005148EC"/>
    <w:rsid w:val="00523E88"/>
    <w:rsid w:val="00527784"/>
    <w:rsid w:val="00530B6C"/>
    <w:rsid w:val="0054242C"/>
    <w:rsid w:val="005466D9"/>
    <w:rsid w:val="0055059D"/>
    <w:rsid w:val="005533D4"/>
    <w:rsid w:val="00555C6E"/>
    <w:rsid w:val="00560F90"/>
    <w:rsid w:val="00562DBF"/>
    <w:rsid w:val="005757BE"/>
    <w:rsid w:val="0058458C"/>
    <w:rsid w:val="00586525"/>
    <w:rsid w:val="00591700"/>
    <w:rsid w:val="005919A8"/>
    <w:rsid w:val="0059279A"/>
    <w:rsid w:val="00592BD0"/>
    <w:rsid w:val="005A5378"/>
    <w:rsid w:val="005A684E"/>
    <w:rsid w:val="005A6D24"/>
    <w:rsid w:val="005B03E8"/>
    <w:rsid w:val="005B0B17"/>
    <w:rsid w:val="005B0B36"/>
    <w:rsid w:val="005B0F97"/>
    <w:rsid w:val="005C48E0"/>
    <w:rsid w:val="005C7FE0"/>
    <w:rsid w:val="005D4DBB"/>
    <w:rsid w:val="005D523C"/>
    <w:rsid w:val="005D5667"/>
    <w:rsid w:val="005E2D59"/>
    <w:rsid w:val="005E6FF0"/>
    <w:rsid w:val="005F0561"/>
    <w:rsid w:val="005F412D"/>
    <w:rsid w:val="005F6DD2"/>
    <w:rsid w:val="005F72FA"/>
    <w:rsid w:val="00604E39"/>
    <w:rsid w:val="00605B9D"/>
    <w:rsid w:val="006069F3"/>
    <w:rsid w:val="0061076D"/>
    <w:rsid w:val="00612DAF"/>
    <w:rsid w:val="00612E06"/>
    <w:rsid w:val="006158FD"/>
    <w:rsid w:val="00624CC9"/>
    <w:rsid w:val="0062591E"/>
    <w:rsid w:val="00630CBB"/>
    <w:rsid w:val="0063756E"/>
    <w:rsid w:val="0064083E"/>
    <w:rsid w:val="0064305C"/>
    <w:rsid w:val="00647844"/>
    <w:rsid w:val="00652829"/>
    <w:rsid w:val="006529C4"/>
    <w:rsid w:val="00657064"/>
    <w:rsid w:val="00657DFB"/>
    <w:rsid w:val="006606EC"/>
    <w:rsid w:val="0066592E"/>
    <w:rsid w:val="00665F48"/>
    <w:rsid w:val="00690476"/>
    <w:rsid w:val="006A0799"/>
    <w:rsid w:val="006A16EB"/>
    <w:rsid w:val="006A6123"/>
    <w:rsid w:val="006B0C56"/>
    <w:rsid w:val="006B5AA8"/>
    <w:rsid w:val="006C238C"/>
    <w:rsid w:val="006C6F92"/>
    <w:rsid w:val="006D173B"/>
    <w:rsid w:val="006D2DF8"/>
    <w:rsid w:val="006D752D"/>
    <w:rsid w:val="006E0D53"/>
    <w:rsid w:val="006E60D3"/>
    <w:rsid w:val="006E6E19"/>
    <w:rsid w:val="006F3864"/>
    <w:rsid w:val="006F4AEE"/>
    <w:rsid w:val="007008BC"/>
    <w:rsid w:val="00701D93"/>
    <w:rsid w:val="0071030F"/>
    <w:rsid w:val="00711EA4"/>
    <w:rsid w:val="00714D34"/>
    <w:rsid w:val="0071519E"/>
    <w:rsid w:val="007153D7"/>
    <w:rsid w:val="00716DC4"/>
    <w:rsid w:val="007308D0"/>
    <w:rsid w:val="00733142"/>
    <w:rsid w:val="007373F6"/>
    <w:rsid w:val="00737E57"/>
    <w:rsid w:val="00740C98"/>
    <w:rsid w:val="00743AF4"/>
    <w:rsid w:val="007455B7"/>
    <w:rsid w:val="00751E62"/>
    <w:rsid w:val="00752408"/>
    <w:rsid w:val="00763BF7"/>
    <w:rsid w:val="00766A26"/>
    <w:rsid w:val="00767A91"/>
    <w:rsid w:val="007704E9"/>
    <w:rsid w:val="00777BD6"/>
    <w:rsid w:val="00792A10"/>
    <w:rsid w:val="00796CCB"/>
    <w:rsid w:val="007A561C"/>
    <w:rsid w:val="007B24E2"/>
    <w:rsid w:val="007B554E"/>
    <w:rsid w:val="007C4C0F"/>
    <w:rsid w:val="007C62CB"/>
    <w:rsid w:val="007D1B67"/>
    <w:rsid w:val="007D3027"/>
    <w:rsid w:val="007D5877"/>
    <w:rsid w:val="007D5A2B"/>
    <w:rsid w:val="007D5C22"/>
    <w:rsid w:val="007E0955"/>
    <w:rsid w:val="007E106D"/>
    <w:rsid w:val="007E2418"/>
    <w:rsid w:val="007E37BE"/>
    <w:rsid w:val="007E4D61"/>
    <w:rsid w:val="007F0461"/>
    <w:rsid w:val="007F37BA"/>
    <w:rsid w:val="007F4F93"/>
    <w:rsid w:val="007F61BB"/>
    <w:rsid w:val="00806213"/>
    <w:rsid w:val="008071F0"/>
    <w:rsid w:val="00820358"/>
    <w:rsid w:val="00825E8D"/>
    <w:rsid w:val="008342CF"/>
    <w:rsid w:val="008344FC"/>
    <w:rsid w:val="00834D17"/>
    <w:rsid w:val="008358F7"/>
    <w:rsid w:val="008369F7"/>
    <w:rsid w:val="0083740D"/>
    <w:rsid w:val="00844C6E"/>
    <w:rsid w:val="00846837"/>
    <w:rsid w:val="00847357"/>
    <w:rsid w:val="00852564"/>
    <w:rsid w:val="0085585E"/>
    <w:rsid w:val="00860588"/>
    <w:rsid w:val="00863805"/>
    <w:rsid w:val="00864699"/>
    <w:rsid w:val="0086523E"/>
    <w:rsid w:val="00865351"/>
    <w:rsid w:val="00867DFF"/>
    <w:rsid w:val="00870373"/>
    <w:rsid w:val="00871295"/>
    <w:rsid w:val="008713B0"/>
    <w:rsid w:val="00874B44"/>
    <w:rsid w:val="00874E42"/>
    <w:rsid w:val="00875D3B"/>
    <w:rsid w:val="00880703"/>
    <w:rsid w:val="008833D6"/>
    <w:rsid w:val="00883E28"/>
    <w:rsid w:val="00884932"/>
    <w:rsid w:val="00890274"/>
    <w:rsid w:val="0089089C"/>
    <w:rsid w:val="00894ECE"/>
    <w:rsid w:val="008A0C68"/>
    <w:rsid w:val="008A5729"/>
    <w:rsid w:val="008A622D"/>
    <w:rsid w:val="008B02B9"/>
    <w:rsid w:val="008B1FF3"/>
    <w:rsid w:val="008C0CD0"/>
    <w:rsid w:val="008C23D2"/>
    <w:rsid w:val="008C2AD8"/>
    <w:rsid w:val="008D0803"/>
    <w:rsid w:val="008D18CD"/>
    <w:rsid w:val="008D7C61"/>
    <w:rsid w:val="008E3019"/>
    <w:rsid w:val="008E3517"/>
    <w:rsid w:val="008E56C3"/>
    <w:rsid w:val="008E72C7"/>
    <w:rsid w:val="008E7F7B"/>
    <w:rsid w:val="008F0D59"/>
    <w:rsid w:val="008F1B90"/>
    <w:rsid w:val="0090436A"/>
    <w:rsid w:val="0091214A"/>
    <w:rsid w:val="00914516"/>
    <w:rsid w:val="0091593C"/>
    <w:rsid w:val="00920398"/>
    <w:rsid w:val="009246D6"/>
    <w:rsid w:val="009311FB"/>
    <w:rsid w:val="00933937"/>
    <w:rsid w:val="00934325"/>
    <w:rsid w:val="00934FC0"/>
    <w:rsid w:val="00937B9D"/>
    <w:rsid w:val="00941143"/>
    <w:rsid w:val="00941C57"/>
    <w:rsid w:val="00941EC8"/>
    <w:rsid w:val="00943919"/>
    <w:rsid w:val="009504F4"/>
    <w:rsid w:val="00955388"/>
    <w:rsid w:val="009570F7"/>
    <w:rsid w:val="00957736"/>
    <w:rsid w:val="00957D24"/>
    <w:rsid w:val="00964A39"/>
    <w:rsid w:val="0097230A"/>
    <w:rsid w:val="00973FE0"/>
    <w:rsid w:val="00976E80"/>
    <w:rsid w:val="00980096"/>
    <w:rsid w:val="00980A51"/>
    <w:rsid w:val="00990F6B"/>
    <w:rsid w:val="00992B71"/>
    <w:rsid w:val="009A57D3"/>
    <w:rsid w:val="009B23FB"/>
    <w:rsid w:val="009B5061"/>
    <w:rsid w:val="009B523A"/>
    <w:rsid w:val="009B7238"/>
    <w:rsid w:val="009D7214"/>
    <w:rsid w:val="009E3CB4"/>
    <w:rsid w:val="009E6430"/>
    <w:rsid w:val="009E6F1A"/>
    <w:rsid w:val="009F3A3E"/>
    <w:rsid w:val="00A032DB"/>
    <w:rsid w:val="00A04E86"/>
    <w:rsid w:val="00A12013"/>
    <w:rsid w:val="00A12A6E"/>
    <w:rsid w:val="00A169E2"/>
    <w:rsid w:val="00A216EA"/>
    <w:rsid w:val="00A273D3"/>
    <w:rsid w:val="00A340FC"/>
    <w:rsid w:val="00A35D88"/>
    <w:rsid w:val="00A43A76"/>
    <w:rsid w:val="00A43E86"/>
    <w:rsid w:val="00A45CDD"/>
    <w:rsid w:val="00A470E2"/>
    <w:rsid w:val="00A512BD"/>
    <w:rsid w:val="00A51A48"/>
    <w:rsid w:val="00A532BF"/>
    <w:rsid w:val="00A5348A"/>
    <w:rsid w:val="00A57498"/>
    <w:rsid w:val="00A62480"/>
    <w:rsid w:val="00A6616B"/>
    <w:rsid w:val="00A67F16"/>
    <w:rsid w:val="00A83506"/>
    <w:rsid w:val="00A92C31"/>
    <w:rsid w:val="00AA05CE"/>
    <w:rsid w:val="00AA104B"/>
    <w:rsid w:val="00AA1B3A"/>
    <w:rsid w:val="00AA1CE0"/>
    <w:rsid w:val="00AB646F"/>
    <w:rsid w:val="00AC0084"/>
    <w:rsid w:val="00AC1704"/>
    <w:rsid w:val="00AD0479"/>
    <w:rsid w:val="00AD2E17"/>
    <w:rsid w:val="00AD4AD4"/>
    <w:rsid w:val="00AE0CB6"/>
    <w:rsid w:val="00AE4DE7"/>
    <w:rsid w:val="00AE7136"/>
    <w:rsid w:val="00AF119B"/>
    <w:rsid w:val="00AF3849"/>
    <w:rsid w:val="00AF559C"/>
    <w:rsid w:val="00B02783"/>
    <w:rsid w:val="00B027F5"/>
    <w:rsid w:val="00B03F29"/>
    <w:rsid w:val="00B11A7C"/>
    <w:rsid w:val="00B125B9"/>
    <w:rsid w:val="00B153BE"/>
    <w:rsid w:val="00B16165"/>
    <w:rsid w:val="00B17872"/>
    <w:rsid w:val="00B17CE7"/>
    <w:rsid w:val="00B23AD2"/>
    <w:rsid w:val="00B36F7E"/>
    <w:rsid w:val="00B41992"/>
    <w:rsid w:val="00B43BCF"/>
    <w:rsid w:val="00B52C7F"/>
    <w:rsid w:val="00B56269"/>
    <w:rsid w:val="00B57F1F"/>
    <w:rsid w:val="00B609A1"/>
    <w:rsid w:val="00B7549B"/>
    <w:rsid w:val="00B763A6"/>
    <w:rsid w:val="00B76AB1"/>
    <w:rsid w:val="00B802EE"/>
    <w:rsid w:val="00B86056"/>
    <w:rsid w:val="00B875C1"/>
    <w:rsid w:val="00B97CD5"/>
    <w:rsid w:val="00BA0FCC"/>
    <w:rsid w:val="00BA729E"/>
    <w:rsid w:val="00BB1B27"/>
    <w:rsid w:val="00BB2093"/>
    <w:rsid w:val="00BC023D"/>
    <w:rsid w:val="00BC18E5"/>
    <w:rsid w:val="00BC456E"/>
    <w:rsid w:val="00BC6985"/>
    <w:rsid w:val="00BC7D35"/>
    <w:rsid w:val="00BD0D5C"/>
    <w:rsid w:val="00BD1D34"/>
    <w:rsid w:val="00BD1EB4"/>
    <w:rsid w:val="00BD7DC2"/>
    <w:rsid w:val="00BE0D80"/>
    <w:rsid w:val="00BF0AA3"/>
    <w:rsid w:val="00BF0C0B"/>
    <w:rsid w:val="00BF3795"/>
    <w:rsid w:val="00C00D85"/>
    <w:rsid w:val="00C012AE"/>
    <w:rsid w:val="00C10EE6"/>
    <w:rsid w:val="00C1162C"/>
    <w:rsid w:val="00C13599"/>
    <w:rsid w:val="00C1470D"/>
    <w:rsid w:val="00C15138"/>
    <w:rsid w:val="00C165F7"/>
    <w:rsid w:val="00C2361F"/>
    <w:rsid w:val="00C26E99"/>
    <w:rsid w:val="00C362C6"/>
    <w:rsid w:val="00C36825"/>
    <w:rsid w:val="00C37066"/>
    <w:rsid w:val="00C3743C"/>
    <w:rsid w:val="00C4397C"/>
    <w:rsid w:val="00C44F2F"/>
    <w:rsid w:val="00C47BC6"/>
    <w:rsid w:val="00C51D3C"/>
    <w:rsid w:val="00C571CB"/>
    <w:rsid w:val="00C579E8"/>
    <w:rsid w:val="00C60813"/>
    <w:rsid w:val="00C62917"/>
    <w:rsid w:val="00C67EA5"/>
    <w:rsid w:val="00C72DF1"/>
    <w:rsid w:val="00C77C22"/>
    <w:rsid w:val="00C826D7"/>
    <w:rsid w:val="00C84125"/>
    <w:rsid w:val="00C856C3"/>
    <w:rsid w:val="00C91E2A"/>
    <w:rsid w:val="00CA1CBD"/>
    <w:rsid w:val="00CB188F"/>
    <w:rsid w:val="00CB3FB8"/>
    <w:rsid w:val="00CB5160"/>
    <w:rsid w:val="00CE3C67"/>
    <w:rsid w:val="00CE3F9B"/>
    <w:rsid w:val="00CE448A"/>
    <w:rsid w:val="00CF30FB"/>
    <w:rsid w:val="00CF6691"/>
    <w:rsid w:val="00D026C3"/>
    <w:rsid w:val="00D02E55"/>
    <w:rsid w:val="00D10D30"/>
    <w:rsid w:val="00D119C9"/>
    <w:rsid w:val="00D22718"/>
    <w:rsid w:val="00D22B04"/>
    <w:rsid w:val="00D30190"/>
    <w:rsid w:val="00D305F8"/>
    <w:rsid w:val="00D31980"/>
    <w:rsid w:val="00D32E7F"/>
    <w:rsid w:val="00D34D9B"/>
    <w:rsid w:val="00D37D1F"/>
    <w:rsid w:val="00D41953"/>
    <w:rsid w:val="00D425F0"/>
    <w:rsid w:val="00D57215"/>
    <w:rsid w:val="00D619F1"/>
    <w:rsid w:val="00D62056"/>
    <w:rsid w:val="00D62A6B"/>
    <w:rsid w:val="00D67D2F"/>
    <w:rsid w:val="00D708D7"/>
    <w:rsid w:val="00D771AB"/>
    <w:rsid w:val="00D831C3"/>
    <w:rsid w:val="00D836CB"/>
    <w:rsid w:val="00D93524"/>
    <w:rsid w:val="00D9583B"/>
    <w:rsid w:val="00DA1AC9"/>
    <w:rsid w:val="00DA3BEB"/>
    <w:rsid w:val="00DA7C77"/>
    <w:rsid w:val="00DB0DCA"/>
    <w:rsid w:val="00DB21B0"/>
    <w:rsid w:val="00DB7BF3"/>
    <w:rsid w:val="00DC09F4"/>
    <w:rsid w:val="00DD1993"/>
    <w:rsid w:val="00DD6304"/>
    <w:rsid w:val="00DD71B1"/>
    <w:rsid w:val="00DD75F9"/>
    <w:rsid w:val="00DE419D"/>
    <w:rsid w:val="00DF2755"/>
    <w:rsid w:val="00DF2D65"/>
    <w:rsid w:val="00DF2EC0"/>
    <w:rsid w:val="00DF38DB"/>
    <w:rsid w:val="00DF530A"/>
    <w:rsid w:val="00E04610"/>
    <w:rsid w:val="00E05C37"/>
    <w:rsid w:val="00E12549"/>
    <w:rsid w:val="00E30586"/>
    <w:rsid w:val="00E3172E"/>
    <w:rsid w:val="00E31FD5"/>
    <w:rsid w:val="00E32C09"/>
    <w:rsid w:val="00E355BA"/>
    <w:rsid w:val="00E400E9"/>
    <w:rsid w:val="00E42C30"/>
    <w:rsid w:val="00E436CE"/>
    <w:rsid w:val="00E4432F"/>
    <w:rsid w:val="00E45452"/>
    <w:rsid w:val="00E463A1"/>
    <w:rsid w:val="00E477A0"/>
    <w:rsid w:val="00E564A5"/>
    <w:rsid w:val="00E5743E"/>
    <w:rsid w:val="00E57DF9"/>
    <w:rsid w:val="00E57E3C"/>
    <w:rsid w:val="00E607CE"/>
    <w:rsid w:val="00E651CB"/>
    <w:rsid w:val="00E66E58"/>
    <w:rsid w:val="00E71FBF"/>
    <w:rsid w:val="00E77DCB"/>
    <w:rsid w:val="00E931AF"/>
    <w:rsid w:val="00E95E86"/>
    <w:rsid w:val="00EA3E5E"/>
    <w:rsid w:val="00EA522E"/>
    <w:rsid w:val="00EA60A3"/>
    <w:rsid w:val="00EA698F"/>
    <w:rsid w:val="00EB1524"/>
    <w:rsid w:val="00EB27AA"/>
    <w:rsid w:val="00EB4B60"/>
    <w:rsid w:val="00EB7970"/>
    <w:rsid w:val="00EC23E8"/>
    <w:rsid w:val="00EC29F0"/>
    <w:rsid w:val="00EC4C32"/>
    <w:rsid w:val="00EC60E8"/>
    <w:rsid w:val="00ED5A80"/>
    <w:rsid w:val="00EE1112"/>
    <w:rsid w:val="00EE5FE8"/>
    <w:rsid w:val="00EF49EA"/>
    <w:rsid w:val="00F061E9"/>
    <w:rsid w:val="00F074F4"/>
    <w:rsid w:val="00F100A1"/>
    <w:rsid w:val="00F121B4"/>
    <w:rsid w:val="00F122CA"/>
    <w:rsid w:val="00F16B44"/>
    <w:rsid w:val="00F21256"/>
    <w:rsid w:val="00F22A9B"/>
    <w:rsid w:val="00F230F3"/>
    <w:rsid w:val="00F253ED"/>
    <w:rsid w:val="00F27FEE"/>
    <w:rsid w:val="00F30357"/>
    <w:rsid w:val="00F308DC"/>
    <w:rsid w:val="00F309AA"/>
    <w:rsid w:val="00F330C4"/>
    <w:rsid w:val="00F34D84"/>
    <w:rsid w:val="00F414DF"/>
    <w:rsid w:val="00F419E9"/>
    <w:rsid w:val="00F518D3"/>
    <w:rsid w:val="00F52542"/>
    <w:rsid w:val="00F57BC6"/>
    <w:rsid w:val="00F6504B"/>
    <w:rsid w:val="00F66613"/>
    <w:rsid w:val="00F667BC"/>
    <w:rsid w:val="00F66D60"/>
    <w:rsid w:val="00F74BCF"/>
    <w:rsid w:val="00F816BB"/>
    <w:rsid w:val="00F8663C"/>
    <w:rsid w:val="00F90435"/>
    <w:rsid w:val="00F92858"/>
    <w:rsid w:val="00F96535"/>
    <w:rsid w:val="00F973CF"/>
    <w:rsid w:val="00F97703"/>
    <w:rsid w:val="00FA2776"/>
    <w:rsid w:val="00FA2D6E"/>
    <w:rsid w:val="00FA72B2"/>
    <w:rsid w:val="00FB41C6"/>
    <w:rsid w:val="00FB67EA"/>
    <w:rsid w:val="00FC3671"/>
    <w:rsid w:val="00FC763F"/>
    <w:rsid w:val="00FD210F"/>
    <w:rsid w:val="00FD6679"/>
    <w:rsid w:val="00FE0911"/>
    <w:rsid w:val="00FE166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uiPriority w:val="99"/>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uiPriority w:val="99"/>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2A6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f0">
    <w:name w:val="pf0"/>
    <w:basedOn w:val="Normal"/>
    <w:rsid w:val="002A635E"/>
    <w:pPr>
      <w:spacing w:before="100" w:beforeAutospacing="1" w:after="100" w:afterAutospacing="1" w:line="240" w:lineRule="auto"/>
      <w:ind w:left="45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dacg@magel.gov.g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onnateurpdac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3229-0686-4D30-96F4-3C1E829E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1603</Words>
  <Characters>9143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Mamady Fofana</cp:lastModifiedBy>
  <cp:revision>26</cp:revision>
  <cp:lastPrinted>2024-12-11T16:31:00Z</cp:lastPrinted>
  <dcterms:created xsi:type="dcterms:W3CDTF">2024-12-11T16:37:00Z</dcterms:created>
  <dcterms:modified xsi:type="dcterms:W3CDTF">2024-12-13T11:09:00Z</dcterms:modified>
</cp:coreProperties>
</file>