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56A61" w14:textId="77777777" w:rsidR="006B1170" w:rsidRDefault="00CD6CF3" w:rsidP="006B117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left" w:pos="930"/>
          <w:tab w:val="center" w:pos="4876"/>
        </w:tabs>
        <w:jc w:val="center"/>
        <w:rPr>
          <w:sz w:val="52"/>
          <w:szCs w:val="52"/>
        </w:rPr>
      </w:pPr>
      <w:r>
        <w:rPr>
          <w:sz w:val="48"/>
          <w:szCs w:val="48"/>
        </w:rPr>
        <w:object w:dxaOrig="1440" w:dyaOrig="1440" w14:anchorId="1DCB23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97.25pt;margin-top:22.4pt;width:73.5pt;height:88.75pt;z-index:251659264;mso-wrap-edited:f;mso-width-percent:0;mso-height-percent:0;mso-width-percent:0;mso-height-percent:0;mso-width-relative:page;mso-height-relative:page">
            <v:imagedata r:id="rId10" o:title=""/>
          </v:shape>
          <o:OLEObject Type="Embed" ProgID="CorelDRAW.Graphic.11" ShapeID="_x0000_s1026" DrawAspect="Content" ObjectID="_1800718637" r:id="rId11"/>
        </w:object>
      </w:r>
    </w:p>
    <w:p w14:paraId="329EE754" w14:textId="77777777" w:rsidR="006B1170" w:rsidRDefault="006B1170" w:rsidP="006B117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left" w:pos="930"/>
          <w:tab w:val="center" w:pos="4876"/>
        </w:tabs>
        <w:jc w:val="center"/>
        <w:rPr>
          <w:sz w:val="52"/>
          <w:szCs w:val="52"/>
        </w:rPr>
      </w:pPr>
    </w:p>
    <w:p w14:paraId="151D3E10" w14:textId="77777777" w:rsidR="006B1170" w:rsidRDefault="006B1170" w:rsidP="006B117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left" w:pos="930"/>
          <w:tab w:val="center" w:pos="4876"/>
        </w:tabs>
        <w:jc w:val="center"/>
        <w:rPr>
          <w:sz w:val="52"/>
          <w:szCs w:val="52"/>
        </w:rPr>
      </w:pPr>
    </w:p>
    <w:p w14:paraId="1DE2964D" w14:textId="77777777" w:rsidR="006B1170" w:rsidRDefault="006B1170" w:rsidP="006B117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left" w:pos="930"/>
          <w:tab w:val="center" w:pos="4876"/>
        </w:tabs>
        <w:jc w:val="center"/>
        <w:rPr>
          <w:szCs w:val="52"/>
        </w:rPr>
      </w:pPr>
    </w:p>
    <w:p w14:paraId="18ACBB14" w14:textId="77777777" w:rsidR="006B1170" w:rsidRDefault="006B1170" w:rsidP="006B117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left" w:pos="930"/>
          <w:tab w:val="center" w:pos="4876"/>
        </w:tabs>
        <w:jc w:val="center"/>
        <w:rPr>
          <w:sz w:val="52"/>
          <w:szCs w:val="52"/>
        </w:rPr>
      </w:pPr>
      <w:r>
        <w:rPr>
          <w:sz w:val="52"/>
          <w:szCs w:val="52"/>
        </w:rPr>
        <w:t>REPUBLIQUE DE GUINEE</w:t>
      </w:r>
    </w:p>
    <w:p w14:paraId="35919D19" w14:textId="77777777" w:rsidR="006B1170" w:rsidRDefault="006B1170" w:rsidP="006B117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</w:pPr>
      <w:r>
        <w:t>-----------------------------</w:t>
      </w:r>
    </w:p>
    <w:p w14:paraId="2E448FB7" w14:textId="77777777" w:rsidR="006B1170" w:rsidRDefault="006B1170" w:rsidP="006B117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</w:pPr>
      <w:r>
        <w:t>TRAVAIL-JUSTICE-SOLIDARITE</w:t>
      </w:r>
    </w:p>
    <w:p w14:paraId="174A2BD6" w14:textId="77777777" w:rsidR="006B1170" w:rsidRDefault="006B1170" w:rsidP="006B117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</w:pPr>
      <w:r>
        <w:t>-------------------------</w:t>
      </w:r>
    </w:p>
    <w:p w14:paraId="138067BE" w14:textId="77777777" w:rsidR="006B1170" w:rsidRDefault="006B1170" w:rsidP="006B117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MINISTERE DE L’ADMINISTRATION DU TERRITOIRE ET DE LA DECENTRALISATION (MATD)</w:t>
      </w:r>
    </w:p>
    <w:p w14:paraId="4018A3F0" w14:textId="77777777" w:rsidR="006B1170" w:rsidRDefault="006B1170" w:rsidP="006B117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----------------------------------</w:t>
      </w:r>
    </w:p>
    <w:p w14:paraId="0C5605B5" w14:textId="77777777" w:rsidR="006B1170" w:rsidRDefault="006B1170" w:rsidP="006B117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AGENCE NATIONALE DE L’ASSAINISSEMENT ET DE LA SALUBRITE PUBLOIQUE (ANASP)</w:t>
      </w:r>
    </w:p>
    <w:p w14:paraId="5B25AA39" w14:textId="77777777" w:rsidR="006B1170" w:rsidRDefault="006B1170" w:rsidP="006B117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------------------------------------</w:t>
      </w:r>
    </w:p>
    <w:p w14:paraId="4F0032C2" w14:textId="77777777" w:rsidR="006B1170" w:rsidRDefault="006B1170" w:rsidP="006B117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DOSSIER D’APPEL D’OFFRES OUVERT NATIONAL </w:t>
      </w:r>
    </w:p>
    <w:p w14:paraId="55A82573" w14:textId="77777777" w:rsidR="006B1170" w:rsidRDefault="006B1170" w:rsidP="006B117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------------------------------------</w:t>
      </w:r>
    </w:p>
    <w:p w14:paraId="2EB198FA" w14:textId="77777777" w:rsidR="006B1170" w:rsidRDefault="006B1170" w:rsidP="006B117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Appel d’Offres Ouvert N°04/MATD/ANASP/2024</w:t>
      </w:r>
    </w:p>
    <w:p w14:paraId="6E466D62" w14:textId="77777777" w:rsidR="006B1170" w:rsidRDefault="006B1170" w:rsidP="006B117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both"/>
        <w:rPr>
          <w:b/>
          <w:sz w:val="48"/>
          <w:szCs w:val="48"/>
        </w:rPr>
      </w:pPr>
    </w:p>
    <w:p w14:paraId="1EDF3C25" w14:textId="77777777" w:rsidR="006B1170" w:rsidRDefault="006B1170" w:rsidP="006B117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Lot Unique : Acquisition de quatre (04) Camions Lève Conteneur </w:t>
      </w:r>
    </w:p>
    <w:p w14:paraId="75130E83" w14:textId="77777777" w:rsidR="006B1170" w:rsidRDefault="006B1170" w:rsidP="006B117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sz w:val="32"/>
          <w:szCs w:val="32"/>
        </w:rPr>
      </w:pPr>
    </w:p>
    <w:p w14:paraId="7720A4D5" w14:textId="77777777" w:rsidR="006B1170" w:rsidRDefault="006B1170" w:rsidP="006B117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sz w:val="16"/>
          <w:szCs w:val="32"/>
        </w:rPr>
      </w:pPr>
    </w:p>
    <w:p w14:paraId="3A60794A" w14:textId="77777777" w:rsidR="006B1170" w:rsidRDefault="006B1170" w:rsidP="006B117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sz w:val="16"/>
          <w:szCs w:val="32"/>
        </w:rPr>
      </w:pPr>
    </w:p>
    <w:p w14:paraId="2219D3BE" w14:textId="77777777" w:rsidR="006B1170" w:rsidRDefault="006B1170" w:rsidP="006B117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Source de financement : Budget National de Développement (BND) Exercice 2024</w:t>
      </w:r>
    </w:p>
    <w:p w14:paraId="53DCDAEB" w14:textId="77777777" w:rsidR="006B1170" w:rsidRDefault="006B1170" w:rsidP="006B117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rPr>
          <w:b/>
          <w:sz w:val="32"/>
          <w:szCs w:val="32"/>
        </w:rPr>
      </w:pPr>
    </w:p>
    <w:p w14:paraId="5AC73A5E" w14:textId="77777777" w:rsidR="006B1170" w:rsidRDefault="006B1170" w:rsidP="006B117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right"/>
        <w:rPr>
          <w:b/>
          <w:sz w:val="32"/>
          <w:szCs w:val="32"/>
        </w:rPr>
      </w:pPr>
    </w:p>
    <w:p w14:paraId="28170F8D" w14:textId="77777777" w:rsidR="006B1170" w:rsidRDefault="006B1170" w:rsidP="006B117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right"/>
        <w:rPr>
          <w:b/>
          <w:sz w:val="32"/>
          <w:szCs w:val="32"/>
        </w:rPr>
      </w:pPr>
    </w:p>
    <w:p w14:paraId="17BC612D" w14:textId="77777777" w:rsidR="006B1170" w:rsidRDefault="006B1170" w:rsidP="006B117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Octobre 2024</w:t>
      </w:r>
    </w:p>
    <w:p w14:paraId="30E8C3BB" w14:textId="77777777" w:rsidR="006B1170" w:rsidRDefault="006B1170" w:rsidP="006B1170">
      <w:pPr>
        <w:jc w:val="right"/>
        <w:rPr>
          <w:sz w:val="40"/>
          <w:szCs w:val="40"/>
        </w:rPr>
        <w:sectPr w:rsidR="006B1170">
          <w:headerReference w:type="even" r:id="rId12"/>
          <w:headerReference w:type="default" r:id="rId13"/>
          <w:headerReference w:type="first" r:id="rId14"/>
          <w:endnotePr>
            <w:numFmt w:val="decimal"/>
            <w:numRestart w:val="eachSect"/>
          </w:endnotePr>
          <w:pgSz w:w="12240" w:h="15840"/>
          <w:pgMar w:top="993" w:right="1440" w:bottom="1440" w:left="1134" w:header="720" w:footer="720" w:gutter="0"/>
          <w:paperSrc w:first="15" w:other="15"/>
          <w:pgNumType w:fmt="lowerRoman"/>
          <w:cols w:space="720"/>
          <w:titlePg/>
        </w:sectPr>
      </w:pPr>
    </w:p>
    <w:p w14:paraId="6CA9A23D" w14:textId="77777777" w:rsidR="006B1170" w:rsidRDefault="006B1170" w:rsidP="006B11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Avis d’Appel d’Offres (AA0)</w:t>
      </w:r>
    </w:p>
    <w:p w14:paraId="42C1FF09" w14:textId="77777777" w:rsidR="006B1170" w:rsidRDefault="006B1170" w:rsidP="006B1170">
      <w:pPr>
        <w:jc w:val="center"/>
        <w:rPr>
          <w:b/>
          <w:bCs/>
          <w:i/>
          <w:iCs/>
          <w:sz w:val="10"/>
          <w:szCs w:val="10"/>
        </w:rPr>
      </w:pPr>
    </w:p>
    <w:p w14:paraId="2761E64B" w14:textId="77777777" w:rsidR="006B1170" w:rsidRDefault="006B1170" w:rsidP="006B1170">
      <w:pPr>
        <w:jc w:val="center"/>
        <w:rPr>
          <w:b/>
          <w:iCs/>
        </w:rPr>
      </w:pPr>
      <w:r>
        <w:rPr>
          <w:b/>
          <w:iCs/>
        </w:rPr>
        <w:t>Ministère de l’Administration du Territoire et de la Décentralisation</w:t>
      </w:r>
    </w:p>
    <w:p w14:paraId="71CCA5E8" w14:textId="77777777" w:rsidR="006B1170" w:rsidRDefault="006B1170" w:rsidP="006B1170">
      <w:pPr>
        <w:jc w:val="center"/>
        <w:rPr>
          <w:b/>
          <w:iCs/>
        </w:rPr>
      </w:pPr>
      <w:r>
        <w:rPr>
          <w:b/>
          <w:iCs/>
        </w:rPr>
        <w:t>Agence Nationale de l’Assainissement et de la Salubrité Publique (ANASP)</w:t>
      </w:r>
    </w:p>
    <w:p w14:paraId="5305AD3E" w14:textId="77777777" w:rsidR="006B1170" w:rsidRDefault="006B1170" w:rsidP="006B1170">
      <w:pPr>
        <w:jc w:val="center"/>
        <w:rPr>
          <w:b/>
          <w:bCs/>
          <w:i/>
          <w:iCs/>
          <w:sz w:val="10"/>
          <w:szCs w:val="10"/>
        </w:rPr>
      </w:pPr>
    </w:p>
    <w:p w14:paraId="1BD3F606" w14:textId="77777777" w:rsidR="006B1170" w:rsidRDefault="006B1170" w:rsidP="006B1170">
      <w:pPr>
        <w:jc w:val="center"/>
        <w:rPr>
          <w:b/>
          <w:bCs/>
          <w:iCs/>
        </w:rPr>
      </w:pPr>
      <w:r>
        <w:rPr>
          <w:b/>
          <w:bCs/>
          <w:iCs/>
        </w:rPr>
        <w:t>DAO N° 03/MATD/ANASP/2023</w:t>
      </w:r>
    </w:p>
    <w:p w14:paraId="2D91F722" w14:textId="77777777" w:rsidR="006B1170" w:rsidRDefault="006B1170" w:rsidP="006B1170">
      <w:pPr>
        <w:jc w:val="center"/>
        <w:rPr>
          <w:b/>
          <w:bCs/>
          <w:i/>
          <w:iCs/>
          <w:sz w:val="10"/>
          <w:szCs w:val="10"/>
        </w:rPr>
      </w:pPr>
    </w:p>
    <w:p w14:paraId="53C29A9C" w14:textId="19BB2FF1" w:rsidR="006B1170" w:rsidRDefault="006B1170" w:rsidP="006B1170">
      <w:pPr>
        <w:pStyle w:val="Paragraphedeliste"/>
        <w:numPr>
          <w:ilvl w:val="0"/>
          <w:numId w:val="1"/>
        </w:numPr>
        <w:spacing w:after="200"/>
        <w:ind w:left="284" w:hanging="284"/>
        <w:jc w:val="both"/>
      </w:pPr>
      <w:r>
        <w:t xml:space="preserve">Cet Avis d’appel d’offres fait suite à l’Avis Général de Passation des Marchés qui paraîtra dans les organes de publication, le journal des appels d’offres (JAO), le </w:t>
      </w:r>
      <w:r w:rsidR="005E1718">
        <w:t xml:space="preserve">site internet </w:t>
      </w:r>
      <w:r>
        <w:t>communiqu</w:t>
      </w:r>
      <w:r w:rsidR="005E1718">
        <w:t>es</w:t>
      </w:r>
      <w:r>
        <w:t>224</w:t>
      </w:r>
      <w:r w:rsidR="005E1718">
        <w:t>.com</w:t>
      </w:r>
      <w:r>
        <w:t xml:space="preserve"> en ligne et le </w:t>
      </w:r>
      <w:r w:rsidR="005E1718">
        <w:t xml:space="preserve">site internet lelynx.net du </w:t>
      </w:r>
      <w:r>
        <w:t xml:space="preserve">journal satirique </w:t>
      </w:r>
      <w:r w:rsidR="005E1718">
        <w:t xml:space="preserve">Le </w:t>
      </w:r>
      <w:r>
        <w:t>Lynx.</w:t>
      </w:r>
    </w:p>
    <w:p w14:paraId="6BB2228B" w14:textId="77777777" w:rsidR="006B1170" w:rsidRDefault="006B1170" w:rsidP="006B1170">
      <w:pPr>
        <w:pStyle w:val="Paragraphedeliste"/>
        <w:numPr>
          <w:ilvl w:val="0"/>
          <w:numId w:val="1"/>
        </w:numPr>
        <w:spacing w:after="200"/>
        <w:ind w:left="284" w:hanging="284"/>
        <w:jc w:val="both"/>
        <w:rPr>
          <w:iCs/>
        </w:rPr>
      </w:pPr>
      <w:r>
        <w:t xml:space="preserve">Le </w:t>
      </w:r>
      <w:r>
        <w:rPr>
          <w:iCs/>
        </w:rPr>
        <w:t xml:space="preserve">Ministère de l’Administration du Territoire et de la Décentralisation a obtenu dans le cadre de l’exécution de son budget </w:t>
      </w:r>
      <w:r>
        <w:t>des fonds sous forme de contrepartie, afin de financer</w:t>
      </w:r>
      <w:r>
        <w:rPr>
          <w:iCs/>
        </w:rPr>
        <w:t xml:space="preserve"> l’acquisition des équipements et fournitures</w:t>
      </w:r>
      <w:r>
        <w:t xml:space="preserve"> et l’intention d’utiliser une partie de ces fonds pour effectuer des paiements au titre des Marchés </w:t>
      </w:r>
      <w:r>
        <w:rPr>
          <w:iCs/>
        </w:rPr>
        <w:t>relatifs à l</w:t>
      </w:r>
      <w:r>
        <w:rPr>
          <w:b/>
          <w:bCs/>
          <w:iCs/>
        </w:rPr>
        <w:t xml:space="preserve">’acquisition </w:t>
      </w:r>
      <w:r>
        <w:rPr>
          <w:b/>
          <w:iCs/>
        </w:rPr>
        <w:t xml:space="preserve">de quatre (04) Camions Lève Conteneur  en lot unique au compte de l’Agence Nationale de l’Assainissement et de la Salubrité Publique avec un délai de livraison de soixante (60) jours calendaires. </w:t>
      </w:r>
    </w:p>
    <w:p w14:paraId="2BE42077" w14:textId="77777777" w:rsidR="006B1170" w:rsidRDefault="006B1170" w:rsidP="006B1170">
      <w:pPr>
        <w:pStyle w:val="Paragraphedeliste"/>
        <w:numPr>
          <w:ilvl w:val="0"/>
          <w:numId w:val="1"/>
        </w:numPr>
        <w:spacing w:after="200"/>
        <w:ind w:left="284" w:hanging="284"/>
        <w:jc w:val="both"/>
        <w:rPr>
          <w:i/>
          <w:iCs/>
        </w:rPr>
      </w:pPr>
      <w:r>
        <w:t>L’</w:t>
      </w:r>
      <w:r>
        <w:rPr>
          <w:b/>
          <w:iCs/>
        </w:rPr>
        <w:t>Agence Nationale de l’Assainissement et de la Salubrité Publique (ANASP)</w:t>
      </w:r>
      <w:r>
        <w:rPr>
          <w:iCs/>
        </w:rPr>
        <w:t xml:space="preserve">, </w:t>
      </w:r>
      <w:r>
        <w:t xml:space="preserve">sollicite des offres sous plis fermés de la part des candidats éligibles et répondant aux qualifications requises pour fournir </w:t>
      </w:r>
      <w:r>
        <w:rPr>
          <w:iCs/>
        </w:rPr>
        <w:t>le Matériel de transport</w:t>
      </w:r>
      <w:r>
        <w:t xml:space="preserve"> en lot unique comme suit :</w:t>
      </w:r>
    </w:p>
    <w:p w14:paraId="69BE3358" w14:textId="77777777" w:rsidR="006B1170" w:rsidRDefault="006B1170" w:rsidP="006B1170">
      <w:pPr>
        <w:pStyle w:val="Paragraphedeliste"/>
        <w:numPr>
          <w:ilvl w:val="0"/>
          <w:numId w:val="2"/>
        </w:numPr>
        <w:ind w:left="720" w:hanging="284"/>
        <w:jc w:val="both"/>
        <w:rPr>
          <w:b/>
          <w:sz w:val="10"/>
        </w:rPr>
      </w:pPr>
      <w:r>
        <w:rPr>
          <w:b/>
        </w:rPr>
        <w:t xml:space="preserve">Lot Unique : </w:t>
      </w:r>
      <w:r>
        <w:rPr>
          <w:iCs/>
        </w:rPr>
        <w:t>l</w:t>
      </w:r>
      <w:r>
        <w:rPr>
          <w:b/>
          <w:bCs/>
          <w:iCs/>
        </w:rPr>
        <w:t xml:space="preserve">’acquisition </w:t>
      </w:r>
      <w:r>
        <w:rPr>
          <w:b/>
          <w:iCs/>
        </w:rPr>
        <w:t xml:space="preserve">de quatre (04) Camions Lève Conteneur </w:t>
      </w:r>
    </w:p>
    <w:p w14:paraId="40C4A710" w14:textId="77777777" w:rsidR="006B1170" w:rsidRDefault="006B1170" w:rsidP="006B1170">
      <w:pPr>
        <w:spacing w:after="200"/>
        <w:ind w:firstLine="284"/>
        <w:jc w:val="both"/>
      </w:pPr>
      <w:r>
        <w:t>Aucune variante ne sera prise en compte lors de l’évaluation des offres.</w:t>
      </w:r>
    </w:p>
    <w:p w14:paraId="5349E076" w14:textId="77777777" w:rsidR="006B1170" w:rsidRDefault="006B1170" w:rsidP="006B1170">
      <w:pPr>
        <w:pStyle w:val="Paragraphedeliste"/>
        <w:numPr>
          <w:ilvl w:val="0"/>
          <w:numId w:val="1"/>
        </w:numPr>
        <w:spacing w:after="200"/>
        <w:ind w:left="284" w:hanging="284"/>
        <w:jc w:val="both"/>
      </w:pPr>
      <w:r>
        <w:rPr>
          <w:szCs w:val="24"/>
        </w:rPr>
        <w:t xml:space="preserve">La participation à cet appel d'offres ouvert tel que défini aux articles </w:t>
      </w:r>
      <w:r>
        <w:t xml:space="preserve">23 et suivants du Code des Marchés Publics </w:t>
      </w:r>
      <w:r>
        <w:rPr>
          <w:szCs w:val="24"/>
        </w:rPr>
        <w:t xml:space="preserve">concerne tous les candidats éligibles et remplissant les conditions définies dans le présent Dossier d'Appel d'Offres et qui ne sont pas </w:t>
      </w:r>
      <w:r>
        <w:t>concernés par un des cas d’inéligibilité prévus à l’article 64 du</w:t>
      </w:r>
      <w:r>
        <w:rPr>
          <w:bCs/>
        </w:rPr>
        <w:t xml:space="preserve"> Code des Marchés Publics.</w:t>
      </w:r>
    </w:p>
    <w:p w14:paraId="5434EBED" w14:textId="77777777" w:rsidR="006B1170" w:rsidRDefault="006B1170" w:rsidP="006B1170">
      <w:pPr>
        <w:pStyle w:val="Paragraphedeliste"/>
        <w:numPr>
          <w:ilvl w:val="0"/>
          <w:numId w:val="1"/>
        </w:numPr>
        <w:spacing w:after="200"/>
        <w:ind w:left="284" w:hanging="284"/>
        <w:jc w:val="both"/>
      </w:pPr>
      <w:r>
        <w:t>Les candidats intéressés peuvent obtenir des informations et prendre connaissance des documents d’Appel d’offres à l’adresse mentionnée ci-après :</w:t>
      </w:r>
    </w:p>
    <w:p w14:paraId="0D4BD3DE" w14:textId="77777777" w:rsidR="006B1170" w:rsidRDefault="006B1170" w:rsidP="006B1170">
      <w:pPr>
        <w:pStyle w:val="Paragraphedeliste"/>
        <w:spacing w:after="200"/>
        <w:ind w:left="284"/>
        <w:jc w:val="both"/>
        <w:rPr>
          <w:b/>
        </w:rPr>
      </w:pPr>
      <w:r>
        <w:rPr>
          <w:b/>
        </w:rPr>
        <w:t xml:space="preserve">La Direction Générale de l’Agence Nationale de l’Assainissement et de la Salubrité Publique, </w:t>
      </w:r>
      <w:r>
        <w:rPr>
          <w:b/>
          <w:spacing w:val="-2"/>
        </w:rPr>
        <w:t xml:space="preserve">Quartier </w:t>
      </w:r>
      <w:proofErr w:type="spellStart"/>
      <w:r>
        <w:rPr>
          <w:b/>
          <w:spacing w:val="-2"/>
        </w:rPr>
        <w:t>Almamyah</w:t>
      </w:r>
      <w:proofErr w:type="spellEnd"/>
      <w:r>
        <w:rPr>
          <w:b/>
          <w:spacing w:val="-2"/>
        </w:rPr>
        <w:t xml:space="preserve">, Commune de </w:t>
      </w:r>
      <w:proofErr w:type="spellStart"/>
      <w:r>
        <w:rPr>
          <w:b/>
          <w:spacing w:val="-2"/>
        </w:rPr>
        <w:t>Kaloum</w:t>
      </w:r>
      <w:proofErr w:type="spellEnd"/>
      <w:r>
        <w:rPr>
          <w:b/>
          <w:spacing w:val="-2"/>
        </w:rPr>
        <w:t>, Bureau sise au 1</w:t>
      </w:r>
      <w:r>
        <w:rPr>
          <w:b/>
          <w:spacing w:val="-2"/>
          <w:vertAlign w:val="superscript"/>
        </w:rPr>
        <w:t>er</w:t>
      </w:r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Etage</w:t>
      </w:r>
      <w:proofErr w:type="spellEnd"/>
      <w:r>
        <w:rPr>
          <w:b/>
          <w:spacing w:val="-2"/>
        </w:rPr>
        <w:t xml:space="preserve"> de l’Immeuble </w:t>
      </w:r>
      <w:proofErr w:type="spellStart"/>
      <w:r>
        <w:rPr>
          <w:b/>
          <w:spacing w:val="-2"/>
        </w:rPr>
        <w:t>Koula</w:t>
      </w:r>
      <w:proofErr w:type="spellEnd"/>
      <w:r>
        <w:rPr>
          <w:b/>
          <w:color w:val="000000" w:themeColor="text1"/>
          <w:sz w:val="22"/>
          <w:szCs w:val="22"/>
        </w:rPr>
        <w:t>, E-mail</w:t>
      </w:r>
      <w:r>
        <w:rPr>
          <w:color w:val="000000" w:themeColor="text1"/>
          <w:sz w:val="22"/>
          <w:szCs w:val="22"/>
        </w:rPr>
        <w:t xml:space="preserve"> : </w:t>
      </w:r>
      <w:hyperlink r:id="rId15" w:history="1">
        <w:r>
          <w:rPr>
            <w:rStyle w:val="Lienhypertexte"/>
            <w:sz w:val="22"/>
            <w:szCs w:val="22"/>
          </w:rPr>
          <w:t>anaspguinee224@gmail.com</w:t>
        </w:r>
      </w:hyperlink>
      <w:r>
        <w:rPr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>, du lundi au vendredi de 8 heures 30 minutes à 16 heures 30 minutes</w:t>
      </w:r>
      <w:r>
        <w:rPr>
          <w:b/>
        </w:rPr>
        <w:t>.</w:t>
      </w:r>
    </w:p>
    <w:p w14:paraId="310BAD49" w14:textId="77777777" w:rsidR="006B1170" w:rsidRDefault="006B1170" w:rsidP="006B1170">
      <w:pPr>
        <w:pStyle w:val="Paragraphedeliste"/>
        <w:numPr>
          <w:ilvl w:val="0"/>
          <w:numId w:val="1"/>
        </w:numPr>
        <w:spacing w:after="200"/>
        <w:ind w:left="284" w:hanging="284"/>
        <w:jc w:val="both"/>
      </w:pPr>
      <w:r>
        <w:t xml:space="preserve">Les exigences en matière de qualification sont : </w:t>
      </w:r>
      <w:r>
        <w:rPr>
          <w:bCs/>
        </w:rPr>
        <w:t>(voir le Dossier d’Appel d’Offres pour les informations détaillées).</w:t>
      </w:r>
    </w:p>
    <w:p w14:paraId="2803A7DB" w14:textId="77777777" w:rsidR="006B1170" w:rsidRDefault="006B1170" w:rsidP="006B1170">
      <w:pPr>
        <w:pStyle w:val="Paragraphedeliste"/>
        <w:numPr>
          <w:ilvl w:val="0"/>
          <w:numId w:val="1"/>
        </w:numPr>
        <w:spacing w:after="200"/>
        <w:ind w:left="284" w:hanging="284"/>
        <w:jc w:val="both"/>
      </w:pPr>
      <w:r>
        <w:t>Le présent appel d’offres fait référence aux marges de préférences prévues par les articles 78 et 79 du Code des marchés publics.</w:t>
      </w:r>
    </w:p>
    <w:p w14:paraId="2F4B4A56" w14:textId="77777777" w:rsidR="006B1170" w:rsidRDefault="006B1170" w:rsidP="006B1170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4"/>
        </w:rPr>
      </w:pPr>
      <w:r>
        <w:rPr>
          <w:szCs w:val="24"/>
        </w:rPr>
        <w:t xml:space="preserve"> 8.  Les Soumissionnaires intéressés peuvent obtenir les Documents d’Appel d’Offres complets en </w:t>
      </w:r>
      <w:r>
        <w:rPr>
          <w:iCs/>
          <w:szCs w:val="24"/>
        </w:rPr>
        <w:t>français</w:t>
      </w:r>
      <w:r>
        <w:rPr>
          <w:szCs w:val="24"/>
        </w:rPr>
        <w:t xml:space="preserve">          à l’adresse mentionnée ci-dessus contre un paiement non remboursable </w:t>
      </w:r>
      <w:proofErr w:type="gramStart"/>
      <w:r>
        <w:rPr>
          <w:szCs w:val="24"/>
        </w:rPr>
        <w:t xml:space="preserve">de </w:t>
      </w:r>
      <w:r>
        <w:rPr>
          <w:b/>
          <w:bCs/>
          <w:szCs w:val="24"/>
        </w:rPr>
        <w:t>Un</w:t>
      </w:r>
      <w:proofErr w:type="gramEnd"/>
      <w:r>
        <w:rPr>
          <w:b/>
          <w:szCs w:val="24"/>
        </w:rPr>
        <w:t xml:space="preserve"> Million de Francs Guinéens (1 000 000 GNF).</w:t>
      </w:r>
      <w:r>
        <w:rPr>
          <w:szCs w:val="24"/>
        </w:rPr>
        <w:t xml:space="preserve"> Le montant est réparti comme suit :</w:t>
      </w:r>
    </w:p>
    <w:p w14:paraId="766F8D8C" w14:textId="77777777" w:rsidR="006B1170" w:rsidRDefault="006B1170" w:rsidP="006B1170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bCs/>
          <w:iCs/>
        </w:rPr>
      </w:pPr>
    </w:p>
    <w:p w14:paraId="30961890" w14:textId="77777777" w:rsidR="006B1170" w:rsidRDefault="006B1170" w:rsidP="006B1170">
      <w:pPr>
        <w:pStyle w:val="Paragraphedeliste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bCs/>
          <w:iCs/>
        </w:rPr>
      </w:pPr>
      <w:r>
        <w:rPr>
          <w:b/>
          <w:bCs/>
          <w:iCs/>
        </w:rPr>
        <w:t xml:space="preserve">50% </w:t>
      </w:r>
      <w:r>
        <w:rPr>
          <w:bCs/>
          <w:iCs/>
        </w:rPr>
        <w:t>au compte</w:t>
      </w:r>
      <w:r>
        <w:rPr>
          <w:b/>
          <w:bCs/>
          <w:iCs/>
        </w:rPr>
        <w:t xml:space="preserve"> </w:t>
      </w:r>
      <w:r>
        <w:t>N° 41 110 71 </w:t>
      </w:r>
      <w:r>
        <w:rPr>
          <w:b/>
        </w:rPr>
        <w:t>« </w:t>
      </w:r>
      <w:r>
        <w:t>Receveur Central du Trésor » à la BCRG</w:t>
      </w:r>
    </w:p>
    <w:p w14:paraId="09392AF3" w14:textId="77777777" w:rsidR="006B1170" w:rsidRDefault="006B1170" w:rsidP="006B1170">
      <w:pPr>
        <w:pStyle w:val="Paragraphedeliste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bCs/>
          <w:iCs/>
        </w:rPr>
      </w:pPr>
      <w:r>
        <w:t>3</w:t>
      </w:r>
      <w:r>
        <w:rPr>
          <w:b/>
        </w:rPr>
        <w:t xml:space="preserve">0% </w:t>
      </w:r>
      <w:r>
        <w:t xml:space="preserve">au compte N° </w:t>
      </w:r>
      <w:r>
        <w:rPr>
          <w:bCs/>
        </w:rPr>
        <w:t>2011000 407</w:t>
      </w:r>
      <w:r>
        <w:t>de l’ARMP ouvert à la BCRG ;</w:t>
      </w:r>
    </w:p>
    <w:p w14:paraId="71316F8F" w14:textId="77777777" w:rsidR="006B1170" w:rsidRDefault="006B1170" w:rsidP="006B1170">
      <w:pPr>
        <w:pStyle w:val="Paragraphedeliste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bCs/>
          <w:iCs/>
        </w:rPr>
      </w:pPr>
      <w:r>
        <w:rPr>
          <w:b/>
          <w:bCs/>
        </w:rPr>
        <w:t>20%</w:t>
      </w:r>
      <w:r>
        <w:t xml:space="preserve"> au compte de l’Autorité Contractante.</w:t>
      </w:r>
    </w:p>
    <w:p w14:paraId="1091C580" w14:textId="77777777" w:rsidR="006B1170" w:rsidRDefault="006B1170" w:rsidP="006B1170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bCs/>
          <w:iCs/>
        </w:rPr>
      </w:pPr>
    </w:p>
    <w:p w14:paraId="43527F6A" w14:textId="77777777" w:rsidR="006B1170" w:rsidRDefault="006B1170" w:rsidP="006B1170">
      <w:pPr>
        <w:pStyle w:val="Paragraphedeliste"/>
        <w:spacing w:line="276" w:lineRule="auto"/>
        <w:ind w:left="720"/>
        <w:rPr>
          <w:b/>
          <w:bCs/>
          <w:iCs/>
          <w:sz w:val="12"/>
          <w:szCs w:val="12"/>
        </w:rPr>
      </w:pPr>
    </w:p>
    <w:p w14:paraId="4EEEDD06" w14:textId="77777777" w:rsidR="006B1170" w:rsidRDefault="006B1170" w:rsidP="006B1170">
      <w:pPr>
        <w:spacing w:after="188" w:line="249" w:lineRule="auto"/>
        <w:ind w:right="54"/>
        <w:rPr>
          <w:iCs/>
        </w:rPr>
      </w:pPr>
      <w:r>
        <w:t xml:space="preserve">Le Dossier d’Appel d’Offres sera immédiatement remis aux candidats intéressés ou adressé à leurs frais contre les reçus du </w:t>
      </w:r>
      <w:r>
        <w:rPr>
          <w:iCs/>
        </w:rPr>
        <w:t>versement du prix d’achat.</w:t>
      </w:r>
    </w:p>
    <w:p w14:paraId="3CA20F03" w14:textId="77777777" w:rsidR="006B1170" w:rsidRDefault="006B1170" w:rsidP="006B1170">
      <w:pPr>
        <w:pStyle w:val="Paragraphedeliste"/>
        <w:numPr>
          <w:ilvl w:val="0"/>
          <w:numId w:val="1"/>
        </w:numPr>
        <w:spacing w:after="200"/>
        <w:ind w:left="284" w:hanging="284"/>
        <w:jc w:val="both"/>
      </w:pPr>
      <w:r>
        <w:t xml:space="preserve">Les offres devront être rédigées en langue française et déposées en quatre (04) exemplaires dont une (01) originale et trois (03) copies à l'adresse ci-après : </w:t>
      </w:r>
      <w:r>
        <w:rPr>
          <w:b/>
          <w:i/>
          <w:spacing w:val="-2"/>
        </w:rPr>
        <w:t xml:space="preserve">Monsieur </w:t>
      </w:r>
      <w:r>
        <w:rPr>
          <w:b/>
          <w:spacing w:val="-2"/>
        </w:rPr>
        <w:t xml:space="preserve">Directeur Général de l’Agence Nationale de l’Assainissement et de la Salubrité Publique, Quartier </w:t>
      </w:r>
      <w:proofErr w:type="spellStart"/>
      <w:r>
        <w:rPr>
          <w:b/>
          <w:spacing w:val="-2"/>
        </w:rPr>
        <w:t>Almamyah</w:t>
      </w:r>
      <w:proofErr w:type="spellEnd"/>
      <w:r>
        <w:rPr>
          <w:b/>
          <w:spacing w:val="-2"/>
        </w:rPr>
        <w:t xml:space="preserve">, Commune de </w:t>
      </w:r>
      <w:proofErr w:type="spellStart"/>
      <w:r>
        <w:rPr>
          <w:b/>
          <w:spacing w:val="-2"/>
        </w:rPr>
        <w:t>Kaloum</w:t>
      </w:r>
      <w:proofErr w:type="spellEnd"/>
      <w:r>
        <w:rPr>
          <w:b/>
          <w:spacing w:val="-2"/>
        </w:rPr>
        <w:t>, Bureau sise au 1</w:t>
      </w:r>
      <w:r>
        <w:rPr>
          <w:b/>
          <w:spacing w:val="-2"/>
          <w:vertAlign w:val="superscript"/>
        </w:rPr>
        <w:t>er</w:t>
      </w:r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Etage</w:t>
      </w:r>
      <w:proofErr w:type="spellEnd"/>
      <w:r>
        <w:rPr>
          <w:b/>
          <w:spacing w:val="-2"/>
        </w:rPr>
        <w:t xml:space="preserve"> de l’Immeuble </w:t>
      </w:r>
      <w:proofErr w:type="spellStart"/>
      <w:r>
        <w:rPr>
          <w:b/>
          <w:spacing w:val="-2"/>
        </w:rPr>
        <w:t>Koula</w:t>
      </w:r>
      <w:proofErr w:type="spellEnd"/>
      <w:r>
        <w:rPr>
          <w:b/>
          <w:spacing w:val="-2"/>
        </w:rPr>
        <w:t>,</w:t>
      </w:r>
      <w:r>
        <w:rPr>
          <w:b/>
          <w:i/>
          <w:spacing w:val="-2"/>
        </w:rPr>
        <w:t xml:space="preserve"> </w:t>
      </w:r>
      <w:r>
        <w:rPr>
          <w:bCs/>
          <w:iCs/>
        </w:rPr>
        <w:t xml:space="preserve">au plus tard, </w:t>
      </w:r>
      <w:r>
        <w:rPr>
          <w:b/>
          <w:bCs/>
          <w:iCs/>
        </w:rPr>
        <w:t xml:space="preserve">10 Mars 2025 à 12 </w:t>
      </w:r>
      <w:r>
        <w:rPr>
          <w:b/>
        </w:rPr>
        <w:t>heures 00 TU</w:t>
      </w:r>
      <w:r>
        <w:rPr>
          <w:b/>
          <w:spacing w:val="-2"/>
        </w:rPr>
        <w:t>.</w:t>
      </w:r>
    </w:p>
    <w:p w14:paraId="3026CC25" w14:textId="77777777" w:rsidR="006B1170" w:rsidRDefault="006B1170" w:rsidP="006B1170">
      <w:pPr>
        <w:tabs>
          <w:tab w:val="right" w:pos="7254"/>
        </w:tabs>
        <w:spacing w:before="120" w:after="120" w:line="276" w:lineRule="auto"/>
      </w:pPr>
      <w:r>
        <w:t xml:space="preserve">Les offres qui ne parviendront pas aux heures et date ci-dessus indiquées, seront purement et simplement rejetées et retournées sans être ouvertes, aux frais des soumissionnaires concernés.  </w:t>
      </w:r>
    </w:p>
    <w:p w14:paraId="5B726A0D" w14:textId="77777777" w:rsidR="006B1170" w:rsidRDefault="006B1170" w:rsidP="006B1170">
      <w:pPr>
        <w:tabs>
          <w:tab w:val="right" w:pos="7254"/>
        </w:tabs>
        <w:spacing w:before="120" w:after="120" w:line="276" w:lineRule="auto"/>
        <w:rPr>
          <w:b/>
          <w:i/>
          <w:spacing w:val="-2"/>
        </w:rPr>
      </w:pPr>
      <w:r>
        <w:t xml:space="preserve">Les offres seront ouvertes en présence des représentants des soumissionnaires qui désirent participer à l’ouverture des plis et, le cas échéant, d’un observateur indépendant à l’adresse ci-après : </w:t>
      </w:r>
      <w:r>
        <w:rPr>
          <w:b/>
          <w:spacing w:val="-2"/>
        </w:rPr>
        <w:t>Salle de réunion au 1</w:t>
      </w:r>
      <w:r>
        <w:rPr>
          <w:b/>
          <w:spacing w:val="-2"/>
          <w:vertAlign w:val="superscript"/>
        </w:rPr>
        <w:t>er</w:t>
      </w:r>
      <w:r>
        <w:rPr>
          <w:b/>
          <w:spacing w:val="-2"/>
        </w:rPr>
        <w:t xml:space="preserve"> Etage de l’Immeuble abritant ladite Agence – Commune de Kaloum, </w:t>
      </w:r>
      <w:r>
        <w:rPr>
          <w:b/>
          <w:bCs/>
          <w:iCs/>
        </w:rPr>
        <w:t xml:space="preserve">le 11 Mars 2025 </w:t>
      </w:r>
      <w:r>
        <w:rPr>
          <w:bCs/>
          <w:iCs/>
        </w:rPr>
        <w:t xml:space="preserve">à </w:t>
      </w:r>
      <w:r>
        <w:rPr>
          <w:b/>
        </w:rPr>
        <w:t>12 heures 30minutes</w:t>
      </w:r>
      <w:r>
        <w:rPr>
          <w:b/>
          <w:spacing w:val="-2"/>
        </w:rPr>
        <w:t>.</w:t>
      </w:r>
      <w:r>
        <w:rPr>
          <w:b/>
          <w:i/>
          <w:spacing w:val="-2"/>
        </w:rPr>
        <w:t xml:space="preserve"> </w:t>
      </w:r>
    </w:p>
    <w:p w14:paraId="4F5B60EB" w14:textId="77777777" w:rsidR="006B1170" w:rsidRDefault="006B1170" w:rsidP="006B1170">
      <w:pPr>
        <w:spacing w:after="120"/>
        <w:jc w:val="both"/>
      </w:pPr>
      <w:r>
        <w:t xml:space="preserve">Les offres doivent comprendre d’une garantie bancaire de soumission d’un montant </w:t>
      </w:r>
      <w:r>
        <w:rPr>
          <w:b/>
        </w:rPr>
        <w:t>de 1.5 % de son offre</w:t>
      </w:r>
      <w:r>
        <w:t>. Cette garantie demeurera valide pendant trente (30) jours après l’expiration de la durée de validité de l’offre.</w:t>
      </w:r>
    </w:p>
    <w:p w14:paraId="7FA1FC4C" w14:textId="77777777" w:rsidR="006B1170" w:rsidRDefault="006B1170" w:rsidP="006B1170">
      <w:pPr>
        <w:spacing w:after="120"/>
        <w:jc w:val="both"/>
      </w:pPr>
      <w:r>
        <w:t xml:space="preserve">Les offres doivent comprendre une redevance de régulation de 0.60% du montant hors taxe du marché verser sur le compte de l’ARMP conformément  aux dispositions du Décret D/2020/154/PRG/SGG du 10 juillet 2020, portant attribution, organisation et fonctionnement de l’Autorité de Régulation des Marchés Publics (ARMP) et de l’Arrêté conjoint A/2304/MEF/MB/SGG du 07 août 2020  portant modalités de paiement de la redevance de régulation et de la </w:t>
      </w:r>
      <w:proofErr w:type="spellStart"/>
      <w:r>
        <w:t>quote</w:t>
      </w:r>
      <w:proofErr w:type="spellEnd"/>
      <w:r>
        <w:t xml:space="preserve"> part des produits de vente (ou prix de cession) des Dossiers d’Appel d’Offres, et 0.3% du montant HT pour immatriculation du contrat à la DGCMP</w:t>
      </w:r>
    </w:p>
    <w:p w14:paraId="0458E327" w14:textId="77777777" w:rsidR="006B1170" w:rsidRDefault="006B1170" w:rsidP="006B1170">
      <w:pPr>
        <w:spacing w:after="240"/>
        <w:ind w:left="2" w:right="54"/>
      </w:pPr>
      <w:r>
        <w:t xml:space="preserve">Les offres devront demeurer valides pendant une durée de </w:t>
      </w:r>
      <w:r>
        <w:rPr>
          <w:b/>
          <w:bCs/>
          <w:i/>
          <w:iCs/>
        </w:rPr>
        <w:t>Cent vingt (120) jours</w:t>
      </w:r>
      <w:r>
        <w:t xml:space="preserve"> à compter de la date limite de soumission.</w:t>
      </w:r>
    </w:p>
    <w:p w14:paraId="610F063D" w14:textId="77777777" w:rsidR="006B1170" w:rsidRDefault="006B1170" w:rsidP="006B1170">
      <w:pPr>
        <w:spacing w:after="240"/>
        <w:ind w:left="2" w:right="54"/>
      </w:pPr>
      <w:r>
        <w:t>La législation régissant l’appel d’offres.</w:t>
      </w:r>
    </w:p>
    <w:p w14:paraId="186F3F69" w14:textId="17B5C107" w:rsidR="006B1170" w:rsidRDefault="006B1170" w:rsidP="006B1170">
      <w:pPr>
        <w:spacing w:after="240"/>
        <w:ind w:left="2" w:right="54"/>
        <w:jc w:val="right"/>
      </w:pPr>
      <w:r>
        <w:t xml:space="preserve">Conakry, le </w:t>
      </w:r>
      <w:r w:rsidR="00B12D25">
        <w:t>10 février 2025</w:t>
      </w:r>
    </w:p>
    <w:p w14:paraId="7EE04C2C" w14:textId="47F700E2" w:rsidR="006B1170" w:rsidRDefault="00B12D25" w:rsidP="006B1170">
      <w:pPr>
        <w:jc w:val="right"/>
        <w:rPr>
          <w:b/>
          <w:color w:val="000000" w:themeColor="text1"/>
          <w:sz w:val="22"/>
          <w:szCs w:val="22"/>
        </w:rPr>
      </w:pPr>
      <w:r>
        <w:rPr>
          <w:b/>
          <w:noProof/>
          <w:color w:val="000000" w:themeColor="text1"/>
          <w:sz w:val="22"/>
          <w:szCs w:val="22"/>
        </w:rPr>
        <w:drawing>
          <wp:inline distT="0" distB="0" distL="0" distR="0" wp14:anchorId="69E9AD26" wp14:editId="755655D7">
            <wp:extent cx="4673600" cy="1841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36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73A8D" w14:textId="77777777" w:rsidR="006B1170" w:rsidRDefault="006B1170" w:rsidP="006B1170">
      <w:pPr>
        <w:jc w:val="right"/>
        <w:rPr>
          <w:b/>
          <w:color w:val="000000" w:themeColor="text1"/>
          <w:sz w:val="22"/>
          <w:szCs w:val="22"/>
        </w:rPr>
      </w:pPr>
    </w:p>
    <w:p w14:paraId="44EE3C1E" w14:textId="77777777" w:rsidR="006B1170" w:rsidRDefault="006B1170" w:rsidP="006B1170">
      <w:pPr>
        <w:jc w:val="right"/>
        <w:rPr>
          <w:b/>
          <w:color w:val="000000" w:themeColor="text1"/>
          <w:sz w:val="22"/>
          <w:szCs w:val="22"/>
        </w:rPr>
      </w:pPr>
    </w:p>
    <w:p w14:paraId="481041A5" w14:textId="77777777" w:rsidR="006B1170" w:rsidRDefault="006B1170" w:rsidP="006B1170">
      <w:pPr>
        <w:pStyle w:val="Sous-titre"/>
        <w:jc w:val="right"/>
        <w:rPr>
          <w:sz w:val="18"/>
          <w:szCs w:val="26"/>
          <w:u w:val="single"/>
        </w:rPr>
      </w:pPr>
    </w:p>
    <w:p w14:paraId="32B32625" w14:textId="77777777" w:rsidR="00B42916" w:rsidRDefault="00CD6CF3"/>
    <w:sectPr w:rsidR="00B42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45D17" w14:textId="77777777" w:rsidR="00CD6CF3" w:rsidRDefault="00CD6CF3">
      <w:r>
        <w:separator/>
      </w:r>
    </w:p>
  </w:endnote>
  <w:endnote w:type="continuationSeparator" w:id="0">
    <w:p w14:paraId="66B34F27" w14:textId="77777777" w:rsidR="00CD6CF3" w:rsidRDefault="00CD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6BC9A" w14:textId="77777777" w:rsidR="00CD6CF3" w:rsidRDefault="00CD6CF3">
      <w:r>
        <w:separator/>
      </w:r>
    </w:p>
  </w:footnote>
  <w:footnote w:type="continuationSeparator" w:id="0">
    <w:p w14:paraId="51A6F396" w14:textId="77777777" w:rsidR="00CD6CF3" w:rsidRDefault="00CD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CAA4C" w14:textId="77777777" w:rsidR="00956B49" w:rsidRDefault="008E46C5">
    <w:pPr>
      <w:pStyle w:val="En-tte"/>
      <w:framePr w:wrap="around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4</w:t>
    </w:r>
    <w:r>
      <w:rPr>
        <w:rStyle w:val="Numrodepage"/>
      </w:rPr>
      <w:fldChar w:fldCharType="end"/>
    </w:r>
  </w:p>
  <w:p w14:paraId="1A1DDA23" w14:textId="77777777" w:rsidR="00956B49" w:rsidRDefault="008E46C5">
    <w:pPr>
      <w:pStyle w:val="En-tte"/>
      <w:ind w:right="72"/>
      <w:jc w:val="right"/>
    </w:pPr>
    <w:r>
      <w:t>Dossier type d’appel d’offres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D079E" w14:textId="77777777" w:rsidR="00956B49" w:rsidRDefault="008E46C5">
    <w:pPr>
      <w:pStyle w:val="En-tte"/>
      <w:framePr w:wrap="around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ii</w:t>
    </w:r>
    <w:r>
      <w:rPr>
        <w:rStyle w:val="Numrodepage"/>
      </w:rPr>
      <w:fldChar w:fldCharType="end"/>
    </w:r>
  </w:p>
  <w:p w14:paraId="4DAA0BDE" w14:textId="77777777" w:rsidR="00956B49" w:rsidRDefault="008E46C5">
    <w:pPr>
      <w:pStyle w:val="En-tte"/>
      <w:ind w:right="69"/>
    </w:pPr>
    <w:r>
      <w:t>Dossier type d’appel d’offres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5BF11" w14:textId="77777777" w:rsidR="00956B49" w:rsidRDefault="00CD6CF3">
    <w:pPr>
      <w:pStyle w:val="En-tte"/>
      <w:ind w:right="6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A49C7"/>
    <w:multiLevelType w:val="multilevel"/>
    <w:tmpl w:val="334A49C7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D1FA5"/>
    <w:multiLevelType w:val="multilevel"/>
    <w:tmpl w:val="34ED1FA5"/>
    <w:lvl w:ilvl="0">
      <w:start w:val="1"/>
      <w:numFmt w:val="decimal"/>
      <w:lvlText w:val="%1."/>
      <w:lvlJc w:val="left"/>
      <w:pPr>
        <w:tabs>
          <w:tab w:val="left" w:pos="1571"/>
        </w:tabs>
        <w:ind w:left="1571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4EA1344D"/>
    <w:multiLevelType w:val="multilevel"/>
    <w:tmpl w:val="4EA1344D"/>
    <w:lvl w:ilvl="0">
      <w:start w:val="2"/>
      <w:numFmt w:val="bullet"/>
      <w:lvlText w:val="-"/>
      <w:lvlJc w:val="left"/>
      <w:pPr>
        <w:ind w:left="418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25"/>
    <w:rsid w:val="00021FAF"/>
    <w:rsid w:val="001A57AE"/>
    <w:rsid w:val="003A0F7F"/>
    <w:rsid w:val="005E1718"/>
    <w:rsid w:val="006B1170"/>
    <w:rsid w:val="007C2B9B"/>
    <w:rsid w:val="008E46C5"/>
    <w:rsid w:val="009F17D3"/>
    <w:rsid w:val="00B12D25"/>
    <w:rsid w:val="00CD6CF3"/>
    <w:rsid w:val="00F5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0D9313"/>
  <w15:chartTrackingRefBased/>
  <w15:docId w15:val="{71A7D1A4-A9A6-4340-8D4B-2A6F540D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  <w:qFormat/>
    <w:rsid w:val="006B1170"/>
  </w:style>
  <w:style w:type="paragraph" w:styleId="En-tte">
    <w:name w:val="header"/>
    <w:basedOn w:val="Normal"/>
    <w:link w:val="En-tteCar"/>
    <w:qFormat/>
    <w:rsid w:val="006B1170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En-tteCar">
    <w:name w:val="En-tête Car"/>
    <w:basedOn w:val="Policepardfaut"/>
    <w:link w:val="En-tte"/>
    <w:rsid w:val="006B117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uiPriority w:val="99"/>
    <w:qFormat/>
    <w:rsid w:val="006B1170"/>
    <w:rPr>
      <w:color w:val="0000FF"/>
      <w:u w:val="single"/>
    </w:rPr>
  </w:style>
  <w:style w:type="paragraph" w:styleId="Sous-titre">
    <w:name w:val="Subtitle"/>
    <w:basedOn w:val="Normal"/>
    <w:link w:val="Sous-titreCar"/>
    <w:qFormat/>
    <w:rsid w:val="006B1170"/>
    <w:pPr>
      <w:jc w:val="center"/>
    </w:pPr>
    <w:rPr>
      <w:b/>
      <w:sz w:val="44"/>
    </w:rPr>
  </w:style>
  <w:style w:type="character" w:customStyle="1" w:styleId="Sous-titreCar">
    <w:name w:val="Sous-titre Car"/>
    <w:basedOn w:val="Policepardfaut"/>
    <w:link w:val="Sous-titre"/>
    <w:rsid w:val="006B1170"/>
    <w:rPr>
      <w:rFonts w:ascii="Times New Roman" w:eastAsia="Times New Roman" w:hAnsi="Times New Roman" w:cs="Times New Roman"/>
      <w:b/>
      <w:sz w:val="44"/>
      <w:szCs w:val="20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6B1170"/>
    <w:pPr>
      <w:ind w:left="708"/>
    </w:pPr>
  </w:style>
  <w:style w:type="character" w:customStyle="1" w:styleId="ParagraphedelisteCar">
    <w:name w:val="Paragraphe de liste Car"/>
    <w:basedOn w:val="Policepardfaut"/>
    <w:link w:val="Paragraphedeliste"/>
    <w:uiPriority w:val="34"/>
    <w:qFormat/>
    <w:rsid w:val="006B1170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hyperlink" Target="mailto:anaspguinee224@gmail.com" TargetMode="Externa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lynx/Desktop/LA%20LANCE%201461/%20ANASP%2010-02-2025/DAO%20LEVE%20CONTENEU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CF7C244859464FB8C8079CE5444BA0" ma:contentTypeVersion="12" ma:contentTypeDescription="Create a new document." ma:contentTypeScope="" ma:versionID="f8c3f7c1ddb45dcf912e50020973263c">
  <xsd:schema xmlns:xsd="http://www.w3.org/2001/XMLSchema" xmlns:xs="http://www.w3.org/2001/XMLSchema" xmlns:p="http://schemas.microsoft.com/office/2006/metadata/properties" xmlns:ns3="1bb9166d-2124-465c-8bc6-b66fde9239f8" targetNamespace="http://schemas.microsoft.com/office/2006/metadata/properties" ma:root="true" ma:fieldsID="1b2c6fa977909ea78bfcda9e1fff671e" ns3:_="">
    <xsd:import namespace="1bb9166d-2124-465c-8bc6-b66fde9239f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9166d-2124-465c-8bc6-b66fde9239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b9166d-2124-465c-8bc6-b66fde9239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E09996-44F0-485F-9D15-75900C5B1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9166d-2124-465c-8bc6-b66fde923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769CE6-81F7-4DD4-AACA-288B4E268996}">
  <ds:schemaRefs>
    <ds:schemaRef ds:uri="http://schemas.microsoft.com/office/2006/metadata/properties"/>
    <ds:schemaRef ds:uri="http://schemas.microsoft.com/office/infopath/2007/PartnerControls"/>
    <ds:schemaRef ds:uri="1bb9166d-2124-465c-8bc6-b66fde9239f8"/>
  </ds:schemaRefs>
</ds:datastoreItem>
</file>

<file path=customXml/itemProps3.xml><?xml version="1.0" encoding="utf-8"?>
<ds:datastoreItem xmlns:ds="http://schemas.openxmlformats.org/officeDocument/2006/customXml" ds:itemID="{093100F8-1484-4E76-8573-4FAAE40BF0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DAO LEVE CONTENEUR.dotx</Template>
  <TotalTime>6</TotalTime>
  <Pages>3</Pages>
  <Words>861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2025-02-10T18:41:00Z</dcterms:created>
  <dcterms:modified xsi:type="dcterms:W3CDTF">2025-02-10T18:51:00Z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0x0101008DCF7C244859464FB8C8079CE5444BA0</vt:lpwstr>
  </property>
</Properties>
</file>