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5" w:type="dxa"/>
        <w:tblInd w:w="-636" w:type="dxa"/>
        <w:tblCellMar>
          <w:left w:w="0" w:type="dxa"/>
          <w:right w:w="0" w:type="dxa"/>
        </w:tblCellMar>
        <w:tblLook w:val="04A0" w:firstRow="1" w:lastRow="0" w:firstColumn="1" w:lastColumn="0" w:noHBand="0" w:noVBand="1"/>
      </w:tblPr>
      <w:tblGrid>
        <w:gridCol w:w="1487"/>
        <w:gridCol w:w="7513"/>
        <w:gridCol w:w="1405"/>
      </w:tblGrid>
      <w:tr w:rsidR="004A34C5" w:rsidRPr="001312AD" w14:paraId="7777A88F" w14:textId="77777777" w:rsidTr="00B81174">
        <w:trPr>
          <w:trHeight w:val="1242"/>
        </w:trPr>
        <w:tc>
          <w:tcPr>
            <w:tcW w:w="1487" w:type="dxa"/>
          </w:tcPr>
          <w:p w14:paraId="3CFC32F0" w14:textId="7FD747D9" w:rsidR="004A34C5" w:rsidRPr="001312AD" w:rsidRDefault="00B81174" w:rsidP="00C8404C">
            <w:pPr>
              <w:pStyle w:val="En-tte"/>
              <w:jc w:val="center"/>
              <w:rPr>
                <w:sz w:val="20"/>
                <w:szCs w:val="22"/>
              </w:rPr>
            </w:pPr>
            <w:bookmarkStart w:id="0" w:name="_Hlk204271980"/>
            <w:r w:rsidRPr="001312AD">
              <w:rPr>
                <w:noProof/>
                <w:sz w:val="22"/>
              </w:rPr>
              <w:drawing>
                <wp:anchor distT="0" distB="0" distL="114300" distR="114300" simplePos="0" relativeHeight="251659264" behindDoc="0" locked="0" layoutInCell="1" allowOverlap="1" wp14:anchorId="448A7421" wp14:editId="6304E034">
                  <wp:simplePos x="0" y="0"/>
                  <wp:positionH relativeFrom="column">
                    <wp:posOffset>67945</wp:posOffset>
                  </wp:positionH>
                  <wp:positionV relativeFrom="paragraph">
                    <wp:posOffset>34290</wp:posOffset>
                  </wp:positionV>
                  <wp:extent cx="845820" cy="967740"/>
                  <wp:effectExtent l="0" t="0" r="0" b="3810"/>
                  <wp:wrapNone/>
                  <wp:docPr id="1591278610" name="Image 159127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3" w:type="dxa"/>
          </w:tcPr>
          <w:p w14:paraId="323AF555" w14:textId="05586730" w:rsidR="004A34C5" w:rsidRPr="001312AD" w:rsidRDefault="00B81174" w:rsidP="00B81174">
            <w:pPr>
              <w:pStyle w:val="En-tte"/>
              <w:ind w:right="-1461"/>
              <w:rPr>
                <w:b/>
                <w:bCs/>
                <w:sz w:val="22"/>
              </w:rPr>
            </w:pPr>
            <w:r w:rsidRPr="001312AD">
              <w:rPr>
                <w:b/>
                <w:bCs/>
                <w:sz w:val="22"/>
              </w:rPr>
              <w:t xml:space="preserve">                                         </w:t>
            </w:r>
            <w:r w:rsidR="004A34C5" w:rsidRPr="001312AD">
              <w:rPr>
                <w:b/>
                <w:bCs/>
                <w:sz w:val="22"/>
              </w:rPr>
              <w:t>REPUBLIQUE DE GUINEE</w:t>
            </w:r>
          </w:p>
          <w:p w14:paraId="1AE2970C" w14:textId="7DBF53CE" w:rsidR="004A34C5" w:rsidRPr="001312AD" w:rsidRDefault="004A34C5" w:rsidP="00B81174">
            <w:pPr>
              <w:pStyle w:val="En-tte"/>
              <w:jc w:val="center"/>
              <w:rPr>
                <w:i/>
                <w:iCs/>
                <w:sz w:val="22"/>
              </w:rPr>
            </w:pPr>
            <w:r w:rsidRPr="001312AD">
              <w:rPr>
                <w:i/>
                <w:iCs/>
                <w:color w:val="FF0000"/>
                <w:sz w:val="22"/>
              </w:rPr>
              <w:t>Travail</w:t>
            </w:r>
            <w:r w:rsidRPr="001312AD">
              <w:rPr>
                <w:i/>
                <w:iCs/>
                <w:sz w:val="22"/>
              </w:rPr>
              <w:t>-</w:t>
            </w:r>
            <w:r w:rsidRPr="001312AD">
              <w:rPr>
                <w:i/>
                <w:iCs/>
                <w:color w:val="FFC000"/>
                <w:sz w:val="22"/>
              </w:rPr>
              <w:t>Justice</w:t>
            </w:r>
            <w:r w:rsidRPr="001312AD">
              <w:rPr>
                <w:i/>
                <w:iCs/>
                <w:sz w:val="22"/>
              </w:rPr>
              <w:t>-</w:t>
            </w:r>
            <w:r w:rsidRPr="001312AD">
              <w:rPr>
                <w:i/>
                <w:iCs/>
                <w:color w:val="00B050"/>
                <w:sz w:val="22"/>
              </w:rPr>
              <w:t>Solidarité</w:t>
            </w:r>
          </w:p>
          <w:p w14:paraId="01C960AF" w14:textId="2FFF0B96" w:rsidR="004A34C5" w:rsidRPr="001312AD" w:rsidRDefault="004A34C5" w:rsidP="00B81174">
            <w:pPr>
              <w:pStyle w:val="En-tte"/>
              <w:spacing w:before="120" w:after="120"/>
              <w:ind w:right="-126"/>
              <w:jc w:val="center"/>
              <w:rPr>
                <w:b/>
                <w:bCs/>
                <w:sz w:val="22"/>
              </w:rPr>
            </w:pPr>
            <w:r w:rsidRPr="001312AD">
              <w:rPr>
                <w:b/>
                <w:bCs/>
                <w:sz w:val="22"/>
              </w:rPr>
              <w:t>MINISTERE DE LA SANTE ET DE L’HYGIENE PUBLIQUE</w:t>
            </w:r>
          </w:p>
          <w:p w14:paraId="258ECB54" w14:textId="666C35CF" w:rsidR="004A34C5" w:rsidRPr="001312AD" w:rsidRDefault="004A34C5" w:rsidP="00B81174">
            <w:pPr>
              <w:pStyle w:val="En-tte"/>
              <w:ind w:right="-1177"/>
              <w:rPr>
                <w:b/>
                <w:bCs/>
                <w:sz w:val="22"/>
              </w:rPr>
            </w:pPr>
            <w:r w:rsidRPr="001312AD">
              <w:rPr>
                <w:b/>
                <w:bCs/>
                <w:sz w:val="22"/>
              </w:rPr>
              <w:t>UNITE D'APPUI A LA GESTION ET A LA COORDINATION DES PROGRAMMES</w:t>
            </w:r>
          </w:p>
          <w:p w14:paraId="721B205E" w14:textId="60592881" w:rsidR="004A34C5" w:rsidRPr="001312AD" w:rsidRDefault="004A34C5" w:rsidP="00B81174">
            <w:pPr>
              <w:pStyle w:val="En-tte"/>
              <w:ind w:right="-1177"/>
              <w:jc w:val="center"/>
              <w:rPr>
                <w:sz w:val="20"/>
                <w:szCs w:val="22"/>
              </w:rPr>
            </w:pPr>
            <w:r w:rsidRPr="001312AD">
              <w:rPr>
                <w:b/>
                <w:bCs/>
                <w:sz w:val="22"/>
              </w:rPr>
              <w:t>(UAGCP)</w:t>
            </w:r>
          </w:p>
        </w:tc>
        <w:tc>
          <w:tcPr>
            <w:tcW w:w="1405" w:type="dxa"/>
          </w:tcPr>
          <w:p w14:paraId="15B5B89A" w14:textId="466E3C30" w:rsidR="004A34C5" w:rsidRPr="001312AD" w:rsidRDefault="00B81174" w:rsidP="00B81174">
            <w:pPr>
              <w:pStyle w:val="En-tte"/>
              <w:ind w:left="-6" w:firstLine="6"/>
              <w:jc w:val="center"/>
              <w:rPr>
                <w:sz w:val="20"/>
                <w:szCs w:val="22"/>
              </w:rPr>
            </w:pPr>
            <w:r w:rsidRPr="001312AD">
              <w:rPr>
                <w:noProof/>
                <w:sz w:val="22"/>
              </w:rPr>
              <w:drawing>
                <wp:anchor distT="0" distB="0" distL="114300" distR="114300" simplePos="0" relativeHeight="251660288" behindDoc="0" locked="0" layoutInCell="1" allowOverlap="1" wp14:anchorId="2871F173" wp14:editId="17ED8B1B">
                  <wp:simplePos x="0" y="0"/>
                  <wp:positionH relativeFrom="column">
                    <wp:posOffset>94615</wp:posOffset>
                  </wp:positionH>
                  <wp:positionV relativeFrom="paragraph">
                    <wp:posOffset>80645</wp:posOffset>
                  </wp:positionV>
                  <wp:extent cx="723900" cy="922020"/>
                  <wp:effectExtent l="0" t="0" r="0" b="0"/>
                  <wp:wrapNone/>
                  <wp:docPr id="164330936" name="Image 16433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C5BE8BC" w14:textId="77777777" w:rsidR="004A34C5" w:rsidRPr="001312AD" w:rsidRDefault="004A34C5" w:rsidP="004A34C5">
      <w:pPr>
        <w:pStyle w:val="Head2"/>
        <w:jc w:val="center"/>
        <w:rPr>
          <w:rFonts w:ascii="Times New Roman" w:hAnsi="Times New Roman"/>
          <w:b/>
          <w:bCs/>
          <w:sz w:val="40"/>
          <w:szCs w:val="32"/>
          <w:lang w:val="fr-CD"/>
        </w:rPr>
      </w:pPr>
    </w:p>
    <w:p w14:paraId="30F97BB5" w14:textId="6C4F37E5" w:rsidR="004A34C5" w:rsidRPr="001312AD" w:rsidRDefault="004A34C5" w:rsidP="00E62950">
      <w:pPr>
        <w:pStyle w:val="Head2"/>
        <w:jc w:val="center"/>
        <w:outlineLvl w:val="0"/>
        <w:rPr>
          <w:rFonts w:ascii="Times New Roman" w:hAnsi="Times New Roman"/>
          <w:b/>
          <w:bCs/>
          <w:sz w:val="40"/>
          <w:szCs w:val="32"/>
          <w:lang w:val="fr-CD"/>
        </w:rPr>
      </w:pPr>
      <w:r w:rsidRPr="001312AD">
        <w:rPr>
          <w:rFonts w:ascii="Times New Roman" w:hAnsi="Times New Roman"/>
          <w:b/>
          <w:bCs/>
          <w:sz w:val="40"/>
          <w:szCs w:val="32"/>
          <w:lang w:val="fr-CD"/>
        </w:rPr>
        <w:t xml:space="preserve">AVIS D’APPEL D’OFFRES </w:t>
      </w:r>
    </w:p>
    <w:p w14:paraId="6E0B9EA0" w14:textId="77777777" w:rsidR="004A34C5" w:rsidRPr="001312AD" w:rsidRDefault="004A34C5" w:rsidP="004A34C5">
      <w:pPr>
        <w:pStyle w:val="Head2"/>
        <w:jc w:val="center"/>
        <w:rPr>
          <w:rFonts w:ascii="Times New Roman" w:hAnsi="Times New Roman"/>
          <w:sz w:val="40"/>
          <w:szCs w:val="32"/>
          <w:lang w:val="fr-CD"/>
        </w:rPr>
      </w:pPr>
    </w:p>
    <w:p w14:paraId="4F4720D5" w14:textId="025B57FB" w:rsidR="004A34C5" w:rsidRPr="001312AD" w:rsidRDefault="004A34C5" w:rsidP="004A34C5">
      <w:pPr>
        <w:jc w:val="center"/>
        <w:rPr>
          <w:b/>
          <w:bCs/>
          <w:sz w:val="32"/>
          <w:szCs w:val="32"/>
        </w:rPr>
      </w:pPr>
      <w:r w:rsidRPr="001312AD">
        <w:rPr>
          <w:b/>
          <w:sz w:val="32"/>
          <w:szCs w:val="14"/>
        </w:rPr>
        <w:t>T</w:t>
      </w:r>
      <w:r w:rsidRPr="001312AD">
        <w:rPr>
          <w:b/>
          <w:bCs/>
          <w:sz w:val="32"/>
          <w:szCs w:val="32"/>
        </w:rPr>
        <w:t xml:space="preserve">RAVAUX DE RENOVATION DE 20 SALLES CPN/PTME DANS LES REGIONS DE FARANAH ET N’ZEREKORE EN GUINEE </w:t>
      </w:r>
    </w:p>
    <w:p w14:paraId="5CF3DABE" w14:textId="0AB9E819" w:rsidR="004A34C5" w:rsidRPr="001312AD" w:rsidRDefault="004A34C5" w:rsidP="00E62950">
      <w:pPr>
        <w:jc w:val="center"/>
        <w:outlineLvl w:val="0"/>
        <w:rPr>
          <w:b/>
          <w:sz w:val="36"/>
          <w:szCs w:val="16"/>
        </w:rPr>
      </w:pPr>
      <w:r w:rsidRPr="001312AD">
        <w:rPr>
          <w:b/>
          <w:sz w:val="36"/>
          <w:szCs w:val="16"/>
        </w:rPr>
        <w:t>N°01</w:t>
      </w:r>
      <w:r w:rsidR="00644D3C">
        <w:rPr>
          <w:b/>
          <w:sz w:val="36"/>
          <w:szCs w:val="16"/>
        </w:rPr>
        <w:t>5</w:t>
      </w:r>
      <w:r w:rsidR="009808F9">
        <w:rPr>
          <w:b/>
          <w:sz w:val="36"/>
          <w:szCs w:val="16"/>
        </w:rPr>
        <w:t>/</w:t>
      </w:r>
      <w:r w:rsidRPr="001312AD">
        <w:rPr>
          <w:b/>
          <w:sz w:val="36"/>
          <w:szCs w:val="16"/>
        </w:rPr>
        <w:t>2025</w:t>
      </w:r>
      <w:r w:rsidR="009808F9">
        <w:rPr>
          <w:b/>
          <w:sz w:val="36"/>
          <w:szCs w:val="16"/>
        </w:rPr>
        <w:t>/T/</w:t>
      </w:r>
      <w:r w:rsidRPr="001312AD">
        <w:rPr>
          <w:b/>
          <w:sz w:val="36"/>
          <w:szCs w:val="16"/>
        </w:rPr>
        <w:t>AON</w:t>
      </w:r>
      <w:r w:rsidR="009808F9">
        <w:rPr>
          <w:b/>
          <w:sz w:val="36"/>
          <w:szCs w:val="16"/>
        </w:rPr>
        <w:t>/</w:t>
      </w:r>
      <w:r w:rsidRPr="001312AD">
        <w:rPr>
          <w:b/>
          <w:sz w:val="36"/>
          <w:szCs w:val="16"/>
        </w:rPr>
        <w:t xml:space="preserve">FM </w:t>
      </w:r>
      <w:r w:rsidR="009808F9">
        <w:rPr>
          <w:b/>
          <w:sz w:val="36"/>
          <w:szCs w:val="16"/>
        </w:rPr>
        <w:t>/</w:t>
      </w:r>
      <w:r w:rsidRPr="001312AD">
        <w:rPr>
          <w:b/>
          <w:sz w:val="36"/>
          <w:szCs w:val="16"/>
        </w:rPr>
        <w:t xml:space="preserve">UAGCP </w:t>
      </w:r>
    </w:p>
    <w:p w14:paraId="76C37B78" w14:textId="77777777" w:rsidR="004A34C5" w:rsidRPr="001312AD" w:rsidRDefault="004A34C5" w:rsidP="004A34C5">
      <w:pPr>
        <w:pBdr>
          <w:bottom w:val="single" w:sz="6" w:space="1" w:color="auto"/>
        </w:pBdr>
        <w:jc w:val="center"/>
        <w:rPr>
          <w:b/>
          <w:bCs/>
          <w:sz w:val="32"/>
          <w:szCs w:val="32"/>
        </w:rPr>
      </w:pPr>
    </w:p>
    <w:p w14:paraId="2FC5E1CA" w14:textId="77777777" w:rsidR="004A34C5" w:rsidRPr="001312AD" w:rsidRDefault="004A34C5" w:rsidP="004A34C5">
      <w:pPr>
        <w:jc w:val="center"/>
        <w:rPr>
          <w:b/>
          <w:bCs/>
          <w:i/>
          <w:iCs/>
        </w:rPr>
      </w:pPr>
    </w:p>
    <w:p w14:paraId="5573BFE6" w14:textId="77777777" w:rsidR="004A34C5" w:rsidRPr="001312AD" w:rsidRDefault="004A34C5" w:rsidP="004A34C5">
      <w:pPr>
        <w:numPr>
          <w:ilvl w:val="0"/>
          <w:numId w:val="1"/>
        </w:numPr>
        <w:tabs>
          <w:tab w:val="clear" w:pos="720"/>
        </w:tabs>
        <w:spacing w:after="200"/>
        <w:ind w:left="709" w:hanging="709"/>
        <w:jc w:val="both"/>
      </w:pPr>
      <w:r w:rsidRPr="001312AD">
        <w:t xml:space="preserve">Cet Avis d’appel d’offres n’a pas fait suite l’objet d’un avis de pré information. </w:t>
      </w:r>
    </w:p>
    <w:p w14:paraId="5495B943" w14:textId="77777777" w:rsidR="004A34C5" w:rsidRPr="001312AD" w:rsidRDefault="004A34C5" w:rsidP="004A34C5">
      <w:pPr>
        <w:numPr>
          <w:ilvl w:val="0"/>
          <w:numId w:val="1"/>
        </w:numPr>
        <w:tabs>
          <w:tab w:val="clear" w:pos="720"/>
        </w:tabs>
        <w:spacing w:after="200"/>
        <w:ind w:left="709" w:hanging="709"/>
        <w:jc w:val="both"/>
      </w:pPr>
      <w:r w:rsidRPr="001312AD">
        <w:t xml:space="preserve">Le Ministère de la Santé et de l’Hygiène Publique </w:t>
      </w:r>
      <w:r w:rsidRPr="001312AD">
        <w:rPr>
          <w:iCs/>
        </w:rPr>
        <w:t xml:space="preserve">a obtenu </w:t>
      </w:r>
      <w:r w:rsidRPr="001312AD">
        <w:t xml:space="preserve">des financements du Fonds Mondial et compte en utiliser une partie pour la réalisation </w:t>
      </w:r>
      <w:r w:rsidRPr="001312AD">
        <w:rPr>
          <w:bCs/>
          <w:szCs w:val="22"/>
        </w:rPr>
        <w:t xml:space="preserve">des </w:t>
      </w:r>
      <w:bookmarkStart w:id="1" w:name="_Hlk165040748"/>
      <w:bookmarkStart w:id="2" w:name="_Hlk189830502"/>
      <w:r w:rsidRPr="001312AD">
        <w:rPr>
          <w:bCs/>
          <w:szCs w:val="22"/>
        </w:rPr>
        <w:t xml:space="preserve">travaux </w:t>
      </w:r>
      <w:bookmarkEnd w:id="1"/>
      <w:bookmarkEnd w:id="2"/>
      <w:r w:rsidRPr="001312AD">
        <w:rPr>
          <w:bCs/>
          <w:szCs w:val="22"/>
        </w:rPr>
        <w:t xml:space="preserve">de </w:t>
      </w:r>
      <w:r w:rsidRPr="001312AD">
        <w:t xml:space="preserve">rénovation de 20 salles CPN/PTME dans les régions de Faranah et N’Zérékoré en Guinée </w:t>
      </w:r>
    </w:p>
    <w:p w14:paraId="0EF12FF6" w14:textId="77777777" w:rsidR="004A34C5" w:rsidRPr="001312AD" w:rsidRDefault="004A34C5" w:rsidP="004A34C5">
      <w:pPr>
        <w:numPr>
          <w:ilvl w:val="0"/>
          <w:numId w:val="1"/>
        </w:numPr>
        <w:spacing w:after="200"/>
        <w:jc w:val="both"/>
        <w:rPr>
          <w:bCs/>
        </w:rPr>
      </w:pPr>
      <w:r w:rsidRPr="001312AD">
        <w:t>La participation à cet appel d'offres ouvert tel que défini aux articles 23 et suivants du Code des marchés publics</w:t>
      </w:r>
      <w:r w:rsidRPr="001312AD">
        <w:rPr>
          <w:bCs/>
        </w:rPr>
        <w:t xml:space="preserve">, </w:t>
      </w:r>
      <w:r w:rsidRPr="001312AD">
        <w:t xml:space="preserve">concerne tous les candidats éligibles et remplissant les conditions définies dans le présent Dossier d'Appel d'Offres Ouvert et qui ne sont pas concernés par un des cas d’inéligibilité prévus à l’article 64 du </w:t>
      </w:r>
      <w:r w:rsidRPr="001312AD">
        <w:rPr>
          <w:bCs/>
        </w:rPr>
        <w:t xml:space="preserve">Code des Marchés Publics. </w:t>
      </w:r>
    </w:p>
    <w:p w14:paraId="55C9A411" w14:textId="7AA0CC35" w:rsidR="004A34C5" w:rsidRPr="001312AD" w:rsidRDefault="004A34C5" w:rsidP="004A34C5">
      <w:pPr>
        <w:numPr>
          <w:ilvl w:val="0"/>
          <w:numId w:val="1"/>
        </w:numPr>
        <w:tabs>
          <w:tab w:val="clear" w:pos="720"/>
        </w:tabs>
        <w:spacing w:after="200"/>
        <w:ind w:left="709" w:hanging="709"/>
        <w:jc w:val="both"/>
      </w:pPr>
      <w:r w:rsidRPr="001312AD">
        <w:t>Les Travaux à exécuter dans un délai de</w:t>
      </w:r>
      <w:r w:rsidRPr="001312AD">
        <w:rPr>
          <w:b/>
          <w:bCs/>
        </w:rPr>
        <w:t xml:space="preserve"> </w:t>
      </w:r>
      <w:r w:rsidR="00C43F82" w:rsidRPr="001312AD">
        <w:rPr>
          <w:b/>
          <w:bCs/>
        </w:rPr>
        <w:t>trois (3) mois calendriers</w:t>
      </w:r>
      <w:r w:rsidRPr="001312AD">
        <w:rPr>
          <w:b/>
          <w:bCs/>
        </w:rPr>
        <w:t>,</w:t>
      </w:r>
      <w:r w:rsidRPr="001312AD">
        <w:t xml:space="preserve"> sont</w:t>
      </w:r>
      <w:r w:rsidRPr="001312AD">
        <w:rPr>
          <w:iCs/>
        </w:rPr>
        <w:t xml:space="preserve"> repartis en deux (02) lots distincts ci-après :</w:t>
      </w:r>
    </w:p>
    <w:p w14:paraId="33A806C1" w14:textId="77777777" w:rsidR="004A34C5" w:rsidRPr="001312AD" w:rsidRDefault="004A34C5" w:rsidP="004A34C5">
      <w:pPr>
        <w:pStyle w:val="Pardeliste"/>
        <w:autoSpaceDE w:val="0"/>
        <w:autoSpaceDN w:val="0"/>
        <w:adjustRightInd w:val="0"/>
        <w:ind w:left="1418" w:hanging="709"/>
        <w:jc w:val="both"/>
        <w:rPr>
          <w:color w:val="000000"/>
          <w:sz w:val="22"/>
          <w:szCs w:val="22"/>
        </w:rPr>
      </w:pPr>
      <w:r w:rsidRPr="001312AD">
        <w:rPr>
          <w:b/>
          <w:bCs/>
          <w:color w:val="000000"/>
          <w:sz w:val="22"/>
          <w:szCs w:val="22"/>
        </w:rPr>
        <w:t xml:space="preserve">Lot 1 </w:t>
      </w:r>
      <w:r w:rsidRPr="001312AD">
        <w:rPr>
          <w:color w:val="000000"/>
          <w:sz w:val="22"/>
          <w:szCs w:val="22"/>
        </w:rPr>
        <w:t xml:space="preserve">: Travaux d'aménagement de rénovation de salles CPN/PTME dans les centres de santé de CSR Marella, CSU Abattoir et CSU Marché dans la Direction préfectorale de Santé de FARANAH ; CSU Heremakono dans la Direction préfectorale de Santé de KISSIDOUGOU ; et CSR Koundou, CSR Ouende Kenema et CSU Sokoro dans la Direction préfectorale de Santé de Gueckedou. </w:t>
      </w:r>
    </w:p>
    <w:p w14:paraId="5017E724" w14:textId="77777777" w:rsidR="004A34C5" w:rsidRPr="001312AD" w:rsidRDefault="004A34C5" w:rsidP="004A34C5">
      <w:pPr>
        <w:pStyle w:val="Pardeliste"/>
        <w:ind w:left="1418" w:hanging="709"/>
        <w:jc w:val="both"/>
        <w:rPr>
          <w:color w:val="000000"/>
        </w:rPr>
      </w:pPr>
    </w:p>
    <w:p w14:paraId="400B1F6D" w14:textId="77777777" w:rsidR="004A34C5" w:rsidRPr="001312AD" w:rsidRDefault="004A34C5" w:rsidP="004A34C5">
      <w:pPr>
        <w:pStyle w:val="Pardeliste"/>
        <w:ind w:left="1418" w:hanging="709"/>
        <w:jc w:val="both"/>
        <w:rPr>
          <w:color w:val="000000"/>
        </w:rPr>
      </w:pPr>
      <w:r w:rsidRPr="001312AD">
        <w:rPr>
          <w:b/>
          <w:bCs/>
          <w:color w:val="000000"/>
        </w:rPr>
        <w:t xml:space="preserve">Lot 2 </w:t>
      </w:r>
      <w:r w:rsidRPr="001312AD">
        <w:rPr>
          <w:color w:val="000000"/>
        </w:rPr>
        <w:t xml:space="preserve">: Travaux d'aménagement de rénovation de salles CPN/PTME dans les centres de santé de CSR Kouankan, CSU BOWA et CSR Hermakono dans la Direction préfectorale de Santé de Macenta ; CSA Gouecké, CSR Koropara, CSR Koule, CSR Yalenzou, CSU Commercial, CSU Gonia, CSU Mohomou, CSU Sokoula et CSR Bowe dans la Direction préfectorale de Santé de N‟Zérékore ; CSR Bowe dans la Direction préfectorale de Santé de Yomou. </w:t>
      </w:r>
    </w:p>
    <w:p w14:paraId="05C18027" w14:textId="77777777" w:rsidR="004A34C5" w:rsidRPr="001312AD" w:rsidRDefault="004A34C5" w:rsidP="004A34C5">
      <w:pPr>
        <w:pStyle w:val="Pardeliste"/>
        <w:autoSpaceDE w:val="0"/>
        <w:autoSpaceDN w:val="0"/>
        <w:adjustRightInd w:val="0"/>
        <w:ind w:left="1418" w:hanging="709"/>
        <w:jc w:val="both"/>
        <w:rPr>
          <w:color w:val="000000"/>
        </w:rPr>
      </w:pPr>
    </w:p>
    <w:p w14:paraId="6B5E0CB1" w14:textId="77777777" w:rsidR="004A34C5" w:rsidRPr="001312AD" w:rsidRDefault="004A34C5" w:rsidP="004A34C5">
      <w:pPr>
        <w:numPr>
          <w:ilvl w:val="0"/>
          <w:numId w:val="1"/>
        </w:numPr>
        <w:spacing w:after="200"/>
        <w:ind w:left="709" w:hanging="709"/>
        <w:jc w:val="both"/>
        <w:rPr>
          <w:bCs/>
          <w:szCs w:val="22"/>
        </w:rPr>
      </w:pPr>
      <w:r w:rsidRPr="001312AD">
        <w:t>Le soumissionnaire peut postuler un ou pour tous les lots du marché.</w:t>
      </w:r>
    </w:p>
    <w:p w14:paraId="1219C8CE" w14:textId="77777777" w:rsidR="004A34C5" w:rsidRPr="001312AD" w:rsidRDefault="004A34C5" w:rsidP="004A34C5">
      <w:pPr>
        <w:numPr>
          <w:ilvl w:val="0"/>
          <w:numId w:val="1"/>
        </w:numPr>
        <w:spacing w:after="200"/>
        <w:ind w:left="709" w:hanging="709"/>
        <w:jc w:val="both"/>
        <w:rPr>
          <w:bCs/>
          <w:szCs w:val="22"/>
        </w:rPr>
      </w:pPr>
      <w:r w:rsidRPr="001312AD">
        <w:t xml:space="preserve">Le Ministère de la Santé et de l’Hygiène Publique sollicite des offres sous pli fermé de la part des candidats éligibles et répondant aux qualifications requises pour réaliser les </w:t>
      </w:r>
      <w:r w:rsidRPr="001312AD">
        <w:rPr>
          <w:bCs/>
          <w:szCs w:val="22"/>
        </w:rPr>
        <w:t xml:space="preserve">travaux susmentionnés. </w:t>
      </w:r>
    </w:p>
    <w:p w14:paraId="02394CE6" w14:textId="07AE6147" w:rsidR="004A34C5" w:rsidRPr="001312AD" w:rsidRDefault="004A34C5" w:rsidP="004A34C5">
      <w:pPr>
        <w:numPr>
          <w:ilvl w:val="0"/>
          <w:numId w:val="1"/>
        </w:numPr>
        <w:jc w:val="both"/>
        <w:rPr>
          <w:color w:val="5F6368"/>
          <w:spacing w:val="3"/>
          <w:sz w:val="21"/>
          <w:szCs w:val="21"/>
          <w:shd w:val="clear" w:color="auto" w:fill="FFFFFF"/>
        </w:rPr>
      </w:pPr>
      <w:r w:rsidRPr="001312AD">
        <w:t>Les candidats intéressés peuvent obtenir des informations auprès de l’</w:t>
      </w:r>
      <w:r w:rsidRPr="001312AD">
        <w:rPr>
          <w:b/>
          <w:bCs/>
        </w:rPr>
        <w:t>UNITE D'APPUI A LA GESTION ET A LA COORDINATION DES PROGRAMMES (UAGCP)</w:t>
      </w:r>
      <w:r w:rsidRPr="001312AD">
        <w:t xml:space="preserve"> à l’adresse mail suivante : </w:t>
      </w:r>
      <w:hyperlink r:id="rId9" w:history="1">
        <w:r w:rsidRPr="001312AD">
          <w:rPr>
            <w:rStyle w:val="Lienhypertexte"/>
            <w:spacing w:val="3"/>
            <w:sz w:val="21"/>
            <w:szCs w:val="21"/>
            <w:shd w:val="clear" w:color="auto" w:fill="FFFFFF"/>
          </w:rPr>
          <w:t>tenders.uagcp@gmail.com</w:t>
        </w:r>
      </w:hyperlink>
      <w:r w:rsidRPr="001312AD">
        <w:rPr>
          <w:color w:val="5F6368"/>
          <w:spacing w:val="3"/>
          <w:sz w:val="21"/>
          <w:szCs w:val="21"/>
          <w:shd w:val="clear" w:color="auto" w:fill="FFFFFF"/>
        </w:rPr>
        <w:t xml:space="preserve"> ; </w:t>
      </w:r>
      <w:r w:rsidRPr="001312AD">
        <w:rPr>
          <w:spacing w:val="3"/>
          <w:sz w:val="21"/>
          <w:szCs w:val="21"/>
          <w:shd w:val="clear" w:color="auto" w:fill="FFFFFF"/>
        </w:rPr>
        <w:t>c</w:t>
      </w:r>
      <w:r w:rsidRPr="001312AD">
        <w:t>c</w:t>
      </w:r>
      <w:r w:rsidRPr="001312AD">
        <w:rPr>
          <w:color w:val="5F6368"/>
          <w:spacing w:val="3"/>
          <w:sz w:val="21"/>
          <w:szCs w:val="21"/>
          <w:shd w:val="clear" w:color="auto" w:fill="FFFFFF"/>
        </w:rPr>
        <w:t xml:space="preserve"> : </w:t>
      </w:r>
      <w:hyperlink r:id="rId10" w:history="1">
        <w:r w:rsidRPr="001312AD">
          <w:rPr>
            <w:rStyle w:val="Lienhypertexte"/>
            <w:spacing w:val="3"/>
            <w:sz w:val="21"/>
            <w:szCs w:val="21"/>
            <w:shd w:val="clear" w:color="auto" w:fill="FFFFFF"/>
          </w:rPr>
          <w:t>mickacamara@hotmail.com</w:t>
        </w:r>
      </w:hyperlink>
      <w:r w:rsidRPr="001312AD">
        <w:rPr>
          <w:color w:val="5F6368"/>
          <w:spacing w:val="3"/>
          <w:sz w:val="21"/>
          <w:szCs w:val="21"/>
          <w:shd w:val="clear" w:color="auto" w:fill="FFFFFF"/>
        </w:rPr>
        <w:t xml:space="preserve"> , </w:t>
      </w:r>
      <w:hyperlink r:id="rId11" w:history="1">
        <w:r w:rsidRPr="001312AD">
          <w:rPr>
            <w:rStyle w:val="Lienhypertexte"/>
            <w:spacing w:val="3"/>
            <w:sz w:val="21"/>
            <w:szCs w:val="21"/>
            <w:shd w:val="clear" w:color="auto" w:fill="FFFFFF"/>
          </w:rPr>
          <w:t>mmuteba@2ac.fr</w:t>
        </w:r>
      </w:hyperlink>
      <w:r w:rsidRPr="001312AD">
        <w:rPr>
          <w:color w:val="5F6368"/>
          <w:spacing w:val="3"/>
          <w:sz w:val="21"/>
          <w:szCs w:val="21"/>
          <w:shd w:val="clear" w:color="auto" w:fill="FFFFFF"/>
        </w:rPr>
        <w:t xml:space="preserve">, </w:t>
      </w:r>
      <w:hyperlink r:id="rId12" w:history="1">
        <w:r w:rsidR="00B81174" w:rsidRPr="001312AD">
          <w:rPr>
            <w:rStyle w:val="Lienhypertexte"/>
            <w:spacing w:val="3"/>
            <w:sz w:val="21"/>
            <w:szCs w:val="21"/>
            <w:shd w:val="clear" w:color="auto" w:fill="FFFFFF"/>
          </w:rPr>
          <w:t>dsalimatou@uagcp-guinee.org</w:t>
        </w:r>
      </w:hyperlink>
      <w:r w:rsidRPr="001312AD">
        <w:rPr>
          <w:color w:val="5F6368"/>
          <w:spacing w:val="3"/>
          <w:sz w:val="21"/>
          <w:szCs w:val="21"/>
          <w:shd w:val="clear" w:color="auto" w:fill="FFFFFF"/>
        </w:rPr>
        <w:t>.</w:t>
      </w:r>
    </w:p>
    <w:p w14:paraId="6B47C0A9" w14:textId="77777777" w:rsidR="004A34C5" w:rsidRPr="001312AD" w:rsidRDefault="004A34C5" w:rsidP="004A34C5">
      <w:pPr>
        <w:ind w:left="720"/>
        <w:jc w:val="both"/>
        <w:rPr>
          <w:color w:val="5F6368"/>
          <w:spacing w:val="3"/>
          <w:sz w:val="21"/>
          <w:szCs w:val="21"/>
          <w:shd w:val="clear" w:color="auto" w:fill="FFFFFF"/>
        </w:rPr>
      </w:pPr>
    </w:p>
    <w:p w14:paraId="3AB6FA93" w14:textId="6384F72F" w:rsidR="004A34C5" w:rsidRPr="001312AD" w:rsidRDefault="004A34C5" w:rsidP="004A34C5">
      <w:pPr>
        <w:numPr>
          <w:ilvl w:val="0"/>
          <w:numId w:val="1"/>
        </w:numPr>
        <w:jc w:val="both"/>
        <w:rPr>
          <w:color w:val="5F6368"/>
          <w:spacing w:val="3"/>
          <w:sz w:val="21"/>
          <w:szCs w:val="21"/>
          <w:shd w:val="clear" w:color="auto" w:fill="FFFFFF"/>
        </w:rPr>
      </w:pPr>
      <w:r w:rsidRPr="001312AD">
        <w:t xml:space="preserve">Les demandes des clarifications sont adressées à l’Autorité contractante aux adresses ci-dessus reprise au plus tard </w:t>
      </w:r>
      <w:r w:rsidRPr="001312AD">
        <w:rPr>
          <w:b/>
          <w:bCs/>
        </w:rPr>
        <w:t xml:space="preserve">le </w:t>
      </w:r>
      <w:r w:rsidR="000B3EED" w:rsidRPr="001312AD">
        <w:rPr>
          <w:b/>
          <w:bCs/>
        </w:rPr>
        <w:t>21/08</w:t>
      </w:r>
      <w:r w:rsidRPr="001312AD">
        <w:rPr>
          <w:b/>
          <w:bCs/>
        </w:rPr>
        <w:t>/2025</w:t>
      </w:r>
      <w:r w:rsidRPr="001312AD">
        <w:t xml:space="preserve">. L’autorité contractante répondra simultanément à tous les soumissionnaires par écrit et l’aperçu complet de toutes les questions et réponses sera simultanément adressé à tous les soumissionnaires ayant retirés le DAO au plus tard </w:t>
      </w:r>
      <w:r w:rsidR="000B3EED" w:rsidRPr="001312AD">
        <w:rPr>
          <w:b/>
          <w:bCs/>
        </w:rPr>
        <w:t>25/08</w:t>
      </w:r>
      <w:r w:rsidRPr="001312AD">
        <w:rPr>
          <w:b/>
          <w:bCs/>
        </w:rPr>
        <w:t>/2025</w:t>
      </w:r>
      <w:r w:rsidR="000B3EED" w:rsidRPr="001312AD">
        <w:rPr>
          <w:b/>
          <w:bCs/>
        </w:rPr>
        <w:t>.</w:t>
      </w:r>
      <w:r w:rsidRPr="001312AD">
        <w:rPr>
          <w:b/>
          <w:bCs/>
        </w:rPr>
        <w:t xml:space="preserve"> </w:t>
      </w:r>
    </w:p>
    <w:p w14:paraId="18B7A874" w14:textId="77777777" w:rsidR="004A34C5" w:rsidRPr="001312AD" w:rsidRDefault="004A34C5" w:rsidP="004A34C5">
      <w:pPr>
        <w:jc w:val="both"/>
      </w:pPr>
    </w:p>
    <w:p w14:paraId="58C635D1" w14:textId="77777777" w:rsidR="004A34C5" w:rsidRPr="001312AD" w:rsidRDefault="004A34C5" w:rsidP="004A34C5">
      <w:pPr>
        <w:numPr>
          <w:ilvl w:val="0"/>
          <w:numId w:val="1"/>
        </w:numPr>
        <w:spacing w:after="200"/>
        <w:jc w:val="both"/>
      </w:pPr>
      <w:r w:rsidRPr="001312AD">
        <w:t>Les exigences en matière de qualifications sont dans le paragraphe « </w:t>
      </w:r>
      <w:r w:rsidRPr="001312AD">
        <w:rPr>
          <w:b/>
          <w:bCs/>
        </w:rPr>
        <w:t>Données particulières de l’appel d’offres ».</w:t>
      </w:r>
    </w:p>
    <w:p w14:paraId="470B7E4C" w14:textId="77777777" w:rsidR="004A34C5" w:rsidRPr="001312AD" w:rsidRDefault="004A34C5" w:rsidP="004A34C5">
      <w:pPr>
        <w:numPr>
          <w:ilvl w:val="0"/>
          <w:numId w:val="1"/>
        </w:numPr>
        <w:spacing w:after="200"/>
        <w:jc w:val="both"/>
        <w:rPr>
          <w:i/>
          <w:iCs/>
        </w:rPr>
      </w:pPr>
      <w:r w:rsidRPr="001312AD">
        <w:t>Le présent appel d’offres fait référence aux marges de préférences prévues par les articles 78 et 79 du Code des marchés publics.</w:t>
      </w:r>
    </w:p>
    <w:p w14:paraId="1EF90E9D" w14:textId="7834974A" w:rsidR="004A34C5" w:rsidRPr="001312AD" w:rsidRDefault="004A34C5" w:rsidP="004A34C5">
      <w:pPr>
        <w:numPr>
          <w:ilvl w:val="0"/>
          <w:numId w:val="1"/>
        </w:numPr>
        <w:spacing w:before="120" w:after="120"/>
        <w:jc w:val="both"/>
      </w:pPr>
      <w:r w:rsidRPr="001312AD">
        <w:t xml:space="preserve">Le DAO peut être retiré par les candidats soumissionnaires, à partir du </w:t>
      </w:r>
      <w:r w:rsidR="00B81174" w:rsidRPr="001312AD">
        <w:rPr>
          <w:b/>
          <w:bCs/>
        </w:rPr>
        <w:t>05/08</w:t>
      </w:r>
      <w:r w:rsidRPr="001312AD">
        <w:rPr>
          <w:b/>
          <w:bCs/>
        </w:rPr>
        <w:t xml:space="preserve">/2025 </w:t>
      </w:r>
      <w:r w:rsidRPr="001312AD">
        <w:t>au service de passation des marchés de l’UAGCP, sis au 3e étage de l’immeuble Palm résidence Camayenne, corniche nord, à côté de la clinique Ambroise paré</w:t>
      </w:r>
      <w:r w:rsidRPr="001312AD">
        <w:rPr>
          <w:b/>
        </w:rPr>
        <w:t>,</w:t>
      </w:r>
      <w:r w:rsidRPr="001312AD">
        <w:t xml:space="preserve"> </w:t>
      </w:r>
      <w:r w:rsidR="00B81174" w:rsidRPr="001312AD">
        <w:t xml:space="preserve">sur présentation d’un bordereau de versement de </w:t>
      </w:r>
      <w:r w:rsidR="00CF4589">
        <w:t>cinq cent mille (500</w:t>
      </w:r>
      <w:r w:rsidR="00B81174" w:rsidRPr="001312AD">
        <w:t xml:space="preserve"> 000) Francs Guinéens non remboursables payé comme suit :</w:t>
      </w:r>
    </w:p>
    <w:p w14:paraId="51411B9D" w14:textId="6075ED40" w:rsidR="00E62950" w:rsidRDefault="00B81174" w:rsidP="00B81174">
      <w:pPr>
        <w:spacing w:before="120" w:after="120"/>
        <w:ind w:left="720"/>
        <w:jc w:val="both"/>
      </w:pPr>
      <w:r w:rsidRPr="001312AD">
        <w:rPr>
          <w:rFonts w:ascii="Segoe UI Symbol" w:hAnsi="Segoe UI Symbol" w:cs="Segoe UI Symbol"/>
        </w:rPr>
        <w:t>➢</w:t>
      </w:r>
      <w:r w:rsidRPr="001312AD">
        <w:t xml:space="preserve"> </w:t>
      </w:r>
      <w:r w:rsidR="00E62950">
        <w:tab/>
      </w:r>
      <w:r w:rsidRPr="001312AD">
        <w:t xml:space="preserve">50% dans le compte de l’ARMP à la Banque Centrale de la République de Guinée ; </w:t>
      </w:r>
    </w:p>
    <w:p w14:paraId="6A7B78C3" w14:textId="77777777" w:rsidR="00E62950" w:rsidRDefault="00B81174" w:rsidP="00B81174">
      <w:pPr>
        <w:spacing w:before="120" w:after="120"/>
        <w:ind w:left="720"/>
        <w:jc w:val="both"/>
      </w:pPr>
      <w:r w:rsidRPr="001312AD">
        <w:rPr>
          <w:rFonts w:ascii="Segoe UI Symbol" w:hAnsi="Segoe UI Symbol" w:cs="Segoe UI Symbol"/>
        </w:rPr>
        <w:t>➢</w:t>
      </w:r>
      <w:r w:rsidRPr="001312AD">
        <w:t xml:space="preserve"> </w:t>
      </w:r>
      <w:r w:rsidR="00E62950">
        <w:tab/>
      </w:r>
      <w:r w:rsidRPr="001312AD">
        <w:t xml:space="preserve">30% dans le compte du trésor public à la Banque Centrale de la République de Guinée </w:t>
      </w:r>
    </w:p>
    <w:p w14:paraId="66FB7B27" w14:textId="04E38D06" w:rsidR="00B81174" w:rsidRPr="001312AD" w:rsidRDefault="00B81174" w:rsidP="00B81174">
      <w:pPr>
        <w:spacing w:before="120" w:after="120"/>
        <w:ind w:left="720"/>
        <w:jc w:val="both"/>
      </w:pPr>
      <w:r w:rsidRPr="001312AD">
        <w:rPr>
          <w:rFonts w:ascii="Segoe UI Symbol" w:hAnsi="Segoe UI Symbol" w:cs="Segoe UI Symbol"/>
        </w:rPr>
        <w:t>➢</w:t>
      </w:r>
      <w:r w:rsidRPr="001312AD">
        <w:t xml:space="preserve"> </w:t>
      </w:r>
      <w:r w:rsidR="00E62950">
        <w:tab/>
      </w:r>
      <w:bookmarkStart w:id="3" w:name="_GoBack"/>
      <w:bookmarkEnd w:id="3"/>
      <w:r w:rsidRPr="001312AD">
        <w:t xml:space="preserve">20% sur le compte N° </w:t>
      </w:r>
      <w:r w:rsidRPr="001312AD">
        <w:rPr>
          <w:b/>
        </w:rPr>
        <w:t>7308051305/GNF</w:t>
      </w:r>
      <w:r w:rsidRPr="001312AD">
        <w:t xml:space="preserve">, intitulée « </w:t>
      </w:r>
      <w:r w:rsidRPr="001312AD">
        <w:rPr>
          <w:b/>
        </w:rPr>
        <w:t xml:space="preserve">COMPTE OPERATIONNEL FONDS MONDIAL </w:t>
      </w:r>
      <w:r w:rsidR="001312AD" w:rsidRPr="001312AD">
        <w:rPr>
          <w:b/>
        </w:rPr>
        <w:t>UAGCP</w:t>
      </w:r>
      <w:r w:rsidR="001312AD" w:rsidRPr="001312AD">
        <w:t xml:space="preserve"> »</w:t>
      </w:r>
      <w:r w:rsidRPr="001312AD">
        <w:t>, ouvert à ECOBANK.</w:t>
      </w:r>
    </w:p>
    <w:p w14:paraId="53B2712E" w14:textId="77777777" w:rsidR="004A34C5" w:rsidRPr="001312AD" w:rsidRDefault="004A34C5" w:rsidP="004A34C5">
      <w:pPr>
        <w:numPr>
          <w:ilvl w:val="0"/>
          <w:numId w:val="1"/>
        </w:numPr>
        <w:spacing w:before="120" w:after="120"/>
        <w:jc w:val="both"/>
      </w:pPr>
      <w:r w:rsidRPr="001312AD">
        <w:t>Les conditions de présentation et de dépôt des offres doivent être strictement respectées conformément aux dispositions définies dans le DAO.</w:t>
      </w:r>
    </w:p>
    <w:p w14:paraId="7FACCADF" w14:textId="6DD20551" w:rsidR="004A34C5" w:rsidRPr="001312AD" w:rsidRDefault="004A34C5" w:rsidP="004A34C5">
      <w:pPr>
        <w:numPr>
          <w:ilvl w:val="0"/>
          <w:numId w:val="1"/>
        </w:numPr>
        <w:spacing w:after="200"/>
        <w:jc w:val="both"/>
      </w:pPr>
      <w:r w:rsidRPr="001312AD">
        <w:t xml:space="preserve">Les offres devront être rédigées en langue française et déposées physiquement en trois (03) exemplaires dont </w:t>
      </w:r>
      <w:r w:rsidRPr="001312AD">
        <w:rPr>
          <w:b/>
          <w:bCs/>
        </w:rPr>
        <w:t>un (01) original</w:t>
      </w:r>
      <w:r w:rsidRPr="001312AD">
        <w:t xml:space="preserve"> et </w:t>
      </w:r>
      <w:r w:rsidRPr="001312AD">
        <w:rPr>
          <w:b/>
          <w:bCs/>
        </w:rPr>
        <w:t>deux (02) copies</w:t>
      </w:r>
      <w:r w:rsidRPr="001312AD">
        <w:t xml:space="preserve">, les versions électroniques des offres technique et financière sur clé USB à l’adresse ci-après : </w:t>
      </w:r>
      <w:r w:rsidRPr="001312AD">
        <w:rPr>
          <w:b/>
          <w:bCs/>
          <w:i/>
          <w:iCs/>
        </w:rPr>
        <w:t>sis au 3e étage de l’immeuble Palm résidence Camayenne, corniche nord, à côté de la clinique Ambroise paré</w:t>
      </w:r>
      <w:r w:rsidRPr="001312AD">
        <w:t xml:space="preserve"> au plus tard le </w:t>
      </w:r>
      <w:r w:rsidRPr="001312AD">
        <w:rPr>
          <w:b/>
          <w:bCs/>
        </w:rPr>
        <w:t>0</w:t>
      </w:r>
      <w:r w:rsidR="00C03D14" w:rsidRPr="001312AD">
        <w:rPr>
          <w:b/>
          <w:bCs/>
        </w:rPr>
        <w:t>9</w:t>
      </w:r>
      <w:r w:rsidRPr="001312AD">
        <w:rPr>
          <w:b/>
          <w:bCs/>
        </w:rPr>
        <w:t>/09/2025 à 11h 00</w:t>
      </w:r>
      <w:r w:rsidRPr="001312AD">
        <w:t xml:space="preserve">. </w:t>
      </w:r>
    </w:p>
    <w:p w14:paraId="22EFD30F" w14:textId="77777777" w:rsidR="004A34C5" w:rsidRPr="001312AD" w:rsidRDefault="004A34C5" w:rsidP="004A34C5">
      <w:pPr>
        <w:ind w:left="709"/>
        <w:jc w:val="both"/>
      </w:pPr>
      <w:r w:rsidRPr="001312AD">
        <w:t xml:space="preserve">Les offres qui ne parviendront pas aux heures et date ci-dessus indiquées, seront purement et simplement rejetées et retournées sans être ouvertes, aux frais des soumissionnaires concernés. </w:t>
      </w:r>
    </w:p>
    <w:p w14:paraId="6580BEA3" w14:textId="77777777" w:rsidR="004A34C5" w:rsidRPr="001312AD" w:rsidRDefault="004A34C5" w:rsidP="004A34C5">
      <w:pPr>
        <w:ind w:left="709"/>
        <w:jc w:val="both"/>
      </w:pPr>
    </w:p>
    <w:p w14:paraId="171E6B67" w14:textId="305A7E4F" w:rsidR="004A34C5" w:rsidRPr="001312AD" w:rsidRDefault="004A34C5" w:rsidP="004A34C5">
      <w:pPr>
        <w:spacing w:after="200"/>
        <w:ind w:left="709"/>
        <w:jc w:val="both"/>
        <w:rPr>
          <w:i/>
          <w:iCs/>
        </w:rPr>
      </w:pPr>
      <w:r w:rsidRPr="001312AD">
        <w:t xml:space="preserve">Les offres seront ouvertes le </w:t>
      </w:r>
      <w:r w:rsidRPr="001312AD">
        <w:rPr>
          <w:b/>
          <w:bCs/>
        </w:rPr>
        <w:t>0</w:t>
      </w:r>
      <w:r w:rsidR="00C03D14" w:rsidRPr="001312AD">
        <w:rPr>
          <w:b/>
          <w:bCs/>
        </w:rPr>
        <w:t>9</w:t>
      </w:r>
      <w:r w:rsidRPr="001312AD">
        <w:rPr>
          <w:b/>
          <w:bCs/>
        </w:rPr>
        <w:t>/09/2025 à 11h 30</w:t>
      </w:r>
      <w:r w:rsidRPr="001312AD">
        <w:t xml:space="preserve"> en présence des représentants des soumissionnaires qui désirent participer à l’ouverture des plis</w:t>
      </w:r>
      <w:r w:rsidRPr="001312AD">
        <w:rPr>
          <w:i/>
          <w:iCs/>
        </w:rPr>
        <w:t>.</w:t>
      </w:r>
    </w:p>
    <w:p w14:paraId="050B0F62" w14:textId="77777777" w:rsidR="004A34C5" w:rsidRPr="001312AD" w:rsidRDefault="004A34C5" w:rsidP="004A34C5">
      <w:pPr>
        <w:numPr>
          <w:ilvl w:val="0"/>
          <w:numId w:val="1"/>
        </w:numPr>
        <w:spacing w:after="200"/>
        <w:jc w:val="both"/>
      </w:pPr>
      <w:r w:rsidRPr="001312AD">
        <w:t xml:space="preserve">Les offres doivent obligatoirement comprendre, </w:t>
      </w:r>
      <w:r w:rsidRPr="001312AD">
        <w:rPr>
          <w:b/>
          <w:bCs/>
          <w:u w:val="single"/>
        </w:rPr>
        <w:t>pour chaque lot</w:t>
      </w:r>
      <w:r w:rsidRPr="001312AD">
        <w:t xml:space="preserve">, </w:t>
      </w:r>
      <w:r w:rsidRPr="001312AD">
        <w:rPr>
          <w:iCs/>
        </w:rPr>
        <w:t>une garantie de soumission bancaire conformément au modèle repris en annexe du présent DAO sous peine d’être éliminée</w:t>
      </w:r>
      <w:r w:rsidRPr="001312AD">
        <w:t xml:space="preserve">, </w:t>
      </w:r>
      <w:r w:rsidRPr="001312AD">
        <w:rPr>
          <w:b/>
          <w:bCs/>
        </w:rPr>
        <w:t>d’un montant de quatorze millions (14 000 000 GNF) francs guinéens.</w:t>
      </w:r>
    </w:p>
    <w:p w14:paraId="1459E896" w14:textId="77777777" w:rsidR="004A34C5" w:rsidRPr="001312AD" w:rsidRDefault="004A34C5" w:rsidP="004A34C5">
      <w:pPr>
        <w:ind w:left="709"/>
        <w:jc w:val="both"/>
        <w:rPr>
          <w:iCs/>
        </w:rPr>
      </w:pPr>
      <w:r w:rsidRPr="001312AD">
        <w:rPr>
          <w:iCs/>
        </w:rPr>
        <w:t>Les garanties de soumission émises par les compagnies d’assurances, institution de micro finance ou des chèques certifiés ne seront pas acceptés et entraineront le rejet automatique de l’offre. De même, une garantie de soumission qui ne respecte pas les conditions exigées en termes de validité et de montant entraine automatiquement le rejet de l’offre du soumissionnaire.</w:t>
      </w:r>
    </w:p>
    <w:p w14:paraId="583C8EFE" w14:textId="63E50DF8" w:rsidR="004A34C5" w:rsidRPr="001312AD" w:rsidRDefault="004A34C5" w:rsidP="004A34C5">
      <w:pPr>
        <w:numPr>
          <w:ilvl w:val="0"/>
          <w:numId w:val="1"/>
        </w:numPr>
        <w:suppressAutoHyphens/>
        <w:overflowPunct w:val="0"/>
        <w:autoSpaceDE w:val="0"/>
        <w:autoSpaceDN w:val="0"/>
        <w:adjustRightInd w:val="0"/>
        <w:spacing w:after="200"/>
        <w:jc w:val="both"/>
        <w:textAlignment w:val="baseline"/>
        <w:rPr>
          <w:iCs/>
        </w:rPr>
      </w:pPr>
      <w:r w:rsidRPr="001312AD">
        <w:rPr>
          <w:iCs/>
        </w:rPr>
        <w:t xml:space="preserve">Les offres </w:t>
      </w:r>
      <w:r w:rsidRPr="001312AD">
        <w:rPr>
          <w:iCs/>
          <w:u w:val="single"/>
        </w:rPr>
        <w:t>devront</w:t>
      </w:r>
      <w:r w:rsidRPr="001312AD">
        <w:rPr>
          <w:iCs/>
        </w:rPr>
        <w:t xml:space="preserve"> obligatoirement demeurer valides pendant une durée de </w:t>
      </w:r>
      <w:r w:rsidRPr="001312AD">
        <w:rPr>
          <w:b/>
          <w:bCs/>
        </w:rPr>
        <w:t xml:space="preserve">90 jours </w:t>
      </w:r>
      <w:r w:rsidRPr="001312AD">
        <w:t xml:space="preserve">(c’est à dire le </w:t>
      </w:r>
      <w:r w:rsidRPr="001312AD">
        <w:rPr>
          <w:b/>
          <w:bCs/>
          <w:u w:val="single"/>
        </w:rPr>
        <w:t>0</w:t>
      </w:r>
      <w:r w:rsidR="00C03D14" w:rsidRPr="001312AD">
        <w:rPr>
          <w:b/>
          <w:bCs/>
          <w:u w:val="single"/>
        </w:rPr>
        <w:t>8</w:t>
      </w:r>
      <w:r w:rsidRPr="001312AD">
        <w:rPr>
          <w:b/>
          <w:bCs/>
          <w:u w:val="single"/>
        </w:rPr>
        <w:t>/12/2025</w:t>
      </w:r>
      <w:r w:rsidRPr="001312AD">
        <w:t>)</w:t>
      </w:r>
      <w:r w:rsidRPr="001312AD">
        <w:rPr>
          <w:iCs/>
        </w:rPr>
        <w:t xml:space="preserve"> à compter de la date limite de soumission. </w:t>
      </w:r>
    </w:p>
    <w:p w14:paraId="26469193" w14:textId="0FDF8637" w:rsidR="004A34C5" w:rsidRPr="001312AD" w:rsidRDefault="004A34C5" w:rsidP="004A34C5">
      <w:pPr>
        <w:numPr>
          <w:ilvl w:val="0"/>
          <w:numId w:val="1"/>
        </w:numPr>
        <w:suppressAutoHyphens/>
        <w:overflowPunct w:val="0"/>
        <w:autoSpaceDE w:val="0"/>
        <w:autoSpaceDN w:val="0"/>
        <w:adjustRightInd w:val="0"/>
        <w:spacing w:after="200"/>
        <w:jc w:val="both"/>
        <w:textAlignment w:val="baseline"/>
        <w:rPr>
          <w:iCs/>
        </w:rPr>
      </w:pPr>
      <w:r w:rsidRPr="001312AD">
        <w:rPr>
          <w:iCs/>
        </w:rPr>
        <w:t xml:space="preserve">Les garanties des offres </w:t>
      </w:r>
      <w:r w:rsidRPr="001312AD">
        <w:rPr>
          <w:iCs/>
          <w:u w:val="single"/>
        </w:rPr>
        <w:t>devront</w:t>
      </w:r>
      <w:r w:rsidRPr="001312AD">
        <w:rPr>
          <w:iCs/>
        </w:rPr>
        <w:t xml:space="preserve"> obligatoirement demeurer valides pendant 28 jours après la date d’expiration de la période de validité de l’offre soit 118 jours </w:t>
      </w:r>
      <w:r w:rsidRPr="001312AD">
        <w:t xml:space="preserve">(c’est à dire le </w:t>
      </w:r>
      <w:r w:rsidR="00C03D14" w:rsidRPr="001312AD">
        <w:rPr>
          <w:b/>
          <w:bCs/>
          <w:u w:val="single"/>
        </w:rPr>
        <w:t>05/01</w:t>
      </w:r>
      <w:r w:rsidRPr="001312AD">
        <w:rPr>
          <w:b/>
          <w:bCs/>
          <w:u w:val="single"/>
        </w:rPr>
        <w:t>/202</w:t>
      </w:r>
      <w:r w:rsidR="00C03D14" w:rsidRPr="001312AD">
        <w:rPr>
          <w:b/>
          <w:bCs/>
          <w:u w:val="single"/>
        </w:rPr>
        <w:t>6</w:t>
      </w:r>
      <w:r w:rsidRPr="001312AD">
        <w:t>)</w:t>
      </w:r>
      <w:r w:rsidRPr="001312AD">
        <w:rPr>
          <w:iCs/>
        </w:rPr>
        <w:t xml:space="preserve"> à compter de la date limite de soumission.</w:t>
      </w:r>
    </w:p>
    <w:p w14:paraId="7C4B6C12" w14:textId="77777777" w:rsidR="004A34C5" w:rsidRPr="001312AD" w:rsidRDefault="004A34C5" w:rsidP="004A34C5">
      <w:pPr>
        <w:numPr>
          <w:ilvl w:val="0"/>
          <w:numId w:val="1"/>
        </w:numPr>
        <w:spacing w:after="200"/>
        <w:jc w:val="both"/>
      </w:pPr>
      <w:r w:rsidRPr="001312AD">
        <w:t xml:space="preserve">La législation régissant l’appel d’offres est la législation Guinéenne. </w:t>
      </w:r>
    </w:p>
    <w:p w14:paraId="747DED2A" w14:textId="77777777" w:rsidR="004A34C5" w:rsidRPr="001312AD" w:rsidRDefault="004A34C5" w:rsidP="004A34C5">
      <w:pPr>
        <w:numPr>
          <w:ilvl w:val="0"/>
          <w:numId w:val="1"/>
        </w:numPr>
        <w:spacing w:after="200"/>
        <w:jc w:val="both"/>
      </w:pPr>
      <w:r w:rsidRPr="001312AD">
        <w:t xml:space="preserve">Les candidats sont encouragés à effectuer des visites à leur propre initiative les sites et peuvent solliciter via les mails indiqués ci-dessous leur mise en relation avec les points focaux pour des fins de visites de reconnaissance. </w:t>
      </w:r>
    </w:p>
    <w:p w14:paraId="1E006390" w14:textId="77469CC9" w:rsidR="004A34C5" w:rsidRPr="001312AD" w:rsidRDefault="004A34C5" w:rsidP="004A34C5">
      <w:pPr>
        <w:numPr>
          <w:ilvl w:val="0"/>
          <w:numId w:val="1"/>
        </w:numPr>
        <w:spacing w:after="200"/>
        <w:jc w:val="both"/>
      </w:pPr>
      <w:r w:rsidRPr="001312AD">
        <w:t xml:space="preserve">Une réunion d’information sera organisée </w:t>
      </w:r>
      <w:r w:rsidRPr="00CF4589">
        <w:rPr>
          <w:b/>
          <w:bCs/>
        </w:rPr>
        <w:t>le</w:t>
      </w:r>
      <w:r w:rsidR="00CF4589">
        <w:rPr>
          <w:b/>
          <w:bCs/>
        </w:rPr>
        <w:t xml:space="preserve"> 19/08/2025 </w:t>
      </w:r>
      <w:r w:rsidRPr="001312AD">
        <w:t xml:space="preserve">en ligne dont le lien sera partagé aussi bien aux candidats ayant retiré le DAO qu’à ceux qui auront formulés la demande par mail ci-dessus au plus tard la veille de ladite réunion. </w:t>
      </w:r>
    </w:p>
    <w:p w14:paraId="0FF8562B" w14:textId="77777777" w:rsidR="004A34C5" w:rsidRPr="001312AD" w:rsidRDefault="004A34C5" w:rsidP="004A34C5">
      <w:pPr>
        <w:spacing w:after="200"/>
        <w:rPr>
          <w:iCs/>
        </w:rPr>
      </w:pPr>
    </w:p>
    <w:p w14:paraId="450E74B4" w14:textId="139F4A9E" w:rsidR="004A34C5" w:rsidRPr="001312AD" w:rsidRDefault="004A34C5" w:rsidP="00E62950">
      <w:pPr>
        <w:spacing w:after="200"/>
        <w:outlineLvl w:val="0"/>
        <w:rPr>
          <w:iCs/>
        </w:rPr>
      </w:pPr>
      <w:r w:rsidRPr="001312AD">
        <w:rPr>
          <w:iCs/>
        </w:rPr>
        <w:t xml:space="preserve">Conakry, le </w:t>
      </w:r>
      <w:r w:rsidR="00C03D14" w:rsidRPr="001312AD">
        <w:rPr>
          <w:iCs/>
        </w:rPr>
        <w:t>30/</w:t>
      </w:r>
      <w:r w:rsidRPr="001312AD">
        <w:rPr>
          <w:iCs/>
        </w:rPr>
        <w:t>07/2025</w:t>
      </w:r>
    </w:p>
    <w:p w14:paraId="56A0095C" w14:textId="77777777" w:rsidR="004A34C5" w:rsidRPr="001312AD" w:rsidRDefault="004A34C5" w:rsidP="004A34C5">
      <w:pPr>
        <w:spacing w:after="120"/>
        <w:ind w:left="5040"/>
        <w:rPr>
          <w:iCs/>
        </w:rPr>
      </w:pPr>
    </w:p>
    <w:p w14:paraId="549404CF" w14:textId="23E5584C" w:rsidR="004A34C5" w:rsidRDefault="004A34C5" w:rsidP="00E62950">
      <w:pPr>
        <w:spacing w:after="120"/>
        <w:ind w:left="5040"/>
        <w:jc w:val="center"/>
        <w:outlineLvl w:val="0"/>
        <w:rPr>
          <w:iCs/>
        </w:rPr>
      </w:pPr>
      <w:r w:rsidRPr="001312AD">
        <w:rPr>
          <w:iCs/>
        </w:rPr>
        <w:t>Pour l’Autorité contractante</w:t>
      </w:r>
    </w:p>
    <w:p w14:paraId="5C829CB8" w14:textId="77777777" w:rsidR="00CF4589" w:rsidRPr="001312AD" w:rsidRDefault="00CF4589" w:rsidP="004A34C5">
      <w:pPr>
        <w:spacing w:after="120"/>
        <w:ind w:left="5040"/>
        <w:jc w:val="center"/>
        <w:rPr>
          <w:b/>
          <w:bCs/>
        </w:rPr>
      </w:pPr>
    </w:p>
    <w:p w14:paraId="2837F8D3" w14:textId="31A31561" w:rsidR="004A34C5" w:rsidRDefault="004A34C5" w:rsidP="00E62950">
      <w:pPr>
        <w:keepLines/>
        <w:tabs>
          <w:tab w:val="center" w:pos="2014"/>
          <w:tab w:val="center" w:pos="6770"/>
        </w:tabs>
        <w:spacing w:before="120"/>
        <w:ind w:left="5040"/>
        <w:jc w:val="center"/>
        <w:outlineLvl w:val="0"/>
        <w:rPr>
          <w:b/>
          <w:bCs/>
          <w:u w:val="single"/>
        </w:rPr>
      </w:pPr>
      <w:r w:rsidRPr="001312AD">
        <w:rPr>
          <w:b/>
          <w:bCs/>
          <w:u w:val="single"/>
        </w:rPr>
        <w:t>Dr Timothée GUILAVOGUI</w:t>
      </w:r>
    </w:p>
    <w:p w14:paraId="359E5A3A" w14:textId="77777777" w:rsidR="009C1FAA" w:rsidRPr="001312AD" w:rsidRDefault="009C1FAA" w:rsidP="004A34C5">
      <w:pPr>
        <w:keepLines/>
        <w:tabs>
          <w:tab w:val="center" w:pos="2014"/>
          <w:tab w:val="center" w:pos="6770"/>
        </w:tabs>
        <w:spacing w:before="120"/>
        <w:ind w:left="5040"/>
        <w:jc w:val="center"/>
        <w:rPr>
          <w:b/>
          <w:bCs/>
          <w:u w:val="single"/>
        </w:rPr>
      </w:pPr>
    </w:p>
    <w:p w14:paraId="7BC24A8E" w14:textId="77777777" w:rsidR="00CF4589" w:rsidRPr="001312AD" w:rsidRDefault="00CF4589" w:rsidP="00E62950">
      <w:pPr>
        <w:spacing w:after="120"/>
        <w:ind w:left="5040"/>
        <w:jc w:val="center"/>
        <w:outlineLvl w:val="0"/>
        <w:rPr>
          <w:iCs/>
        </w:rPr>
      </w:pPr>
      <w:r w:rsidRPr="001312AD">
        <w:rPr>
          <w:b/>
          <w:bCs/>
        </w:rPr>
        <w:t>Le Co</w:t>
      </w:r>
      <w:r w:rsidRPr="001312AD">
        <w:rPr>
          <w:b/>
        </w:rPr>
        <w:t>ordonnateur</w:t>
      </w:r>
    </w:p>
    <w:p w14:paraId="06517A2B" w14:textId="77777777" w:rsidR="004A34C5" w:rsidRPr="001312AD" w:rsidRDefault="004A34C5" w:rsidP="004A34C5">
      <w:pPr>
        <w:spacing w:after="200"/>
        <w:ind w:left="5040"/>
        <w:jc w:val="center"/>
        <w:rPr>
          <w:iCs/>
        </w:rPr>
      </w:pPr>
    </w:p>
    <w:bookmarkEnd w:id="0"/>
    <w:p w14:paraId="3A0F105D" w14:textId="77777777" w:rsidR="00454EE2" w:rsidRDefault="00454EE2"/>
    <w:p w14:paraId="6808AAD5" w14:textId="77777777" w:rsidR="00CC7CFF" w:rsidRPr="00CC7CFF" w:rsidRDefault="00CC7CFF" w:rsidP="00CC7CFF"/>
    <w:p w14:paraId="0DDFD33D" w14:textId="77777777" w:rsidR="00CC7CFF" w:rsidRPr="00CC7CFF" w:rsidRDefault="00CC7CFF" w:rsidP="00CC7CFF"/>
    <w:p w14:paraId="40488779" w14:textId="77777777" w:rsidR="00CC7CFF" w:rsidRPr="00CC7CFF" w:rsidRDefault="00CC7CFF" w:rsidP="00CC7CFF"/>
    <w:p w14:paraId="4D14C8BA" w14:textId="77777777" w:rsidR="00CC7CFF" w:rsidRPr="00CC7CFF" w:rsidRDefault="00CC7CFF" w:rsidP="00CC7CFF"/>
    <w:p w14:paraId="1C08ABC8" w14:textId="77777777" w:rsidR="00CC7CFF" w:rsidRPr="00CC7CFF" w:rsidRDefault="00CC7CFF" w:rsidP="00CC7CFF"/>
    <w:p w14:paraId="4E585B50" w14:textId="77777777" w:rsidR="00CC7CFF" w:rsidRPr="00CC7CFF" w:rsidRDefault="00CC7CFF" w:rsidP="00CC7CFF"/>
    <w:p w14:paraId="49FCF8C2" w14:textId="77777777" w:rsidR="00CC7CFF" w:rsidRDefault="00CC7CFF" w:rsidP="00CC7CFF"/>
    <w:p w14:paraId="1482AF91" w14:textId="77777777" w:rsidR="00CC7CFF" w:rsidRPr="00CC7CFF" w:rsidRDefault="00CC7CFF" w:rsidP="00CC7CFF">
      <w:pPr>
        <w:jc w:val="right"/>
      </w:pPr>
    </w:p>
    <w:sectPr w:rsidR="00CC7CFF" w:rsidRPr="00CC7CFF" w:rsidSect="00B81174">
      <w:footerReference w:type="default" r:id="rId1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9871C" w14:textId="77777777" w:rsidR="00E33492" w:rsidRDefault="00E33492" w:rsidP="004A34C5">
      <w:r>
        <w:separator/>
      </w:r>
    </w:p>
  </w:endnote>
  <w:endnote w:type="continuationSeparator" w:id="0">
    <w:p w14:paraId="0CFDDABD" w14:textId="77777777" w:rsidR="00E33492" w:rsidRDefault="00E33492" w:rsidP="004A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0"/>
        <w:szCs w:val="20"/>
      </w:rPr>
      <w:id w:val="1752779626"/>
      <w:docPartObj>
        <w:docPartGallery w:val="Page Numbers (Bottom of Page)"/>
        <w:docPartUnique/>
      </w:docPartObj>
    </w:sdtPr>
    <w:sdtEndPr>
      <w:rPr>
        <w:sz w:val="24"/>
        <w:szCs w:val="24"/>
      </w:rPr>
    </w:sdtEndPr>
    <w:sdtContent>
      <w:p w14:paraId="159E8B63" w14:textId="4E137355" w:rsidR="004A34C5" w:rsidRPr="004A34C5" w:rsidRDefault="004A34C5" w:rsidP="004A34C5">
        <w:pPr>
          <w:pStyle w:val="Pieddepage"/>
          <w:shd w:val="clear" w:color="auto" w:fill="E7E6E6" w:themeFill="background2"/>
          <w:jc w:val="right"/>
        </w:pPr>
        <w:r w:rsidRPr="004A34C5">
          <w:rPr>
            <w:rFonts w:asciiTheme="majorHAnsi" w:hAnsiTheme="majorHAnsi" w:cstheme="majorHAnsi"/>
            <w:sz w:val="20"/>
            <w:szCs w:val="20"/>
          </w:rPr>
          <w:t>Travaux de rénovation de 20 salles CPN/PTME dans les régions de Faranah et Nzérékoré</w:t>
        </w:r>
        <w:r w:rsidRPr="004A34C5">
          <w:rPr>
            <w:sz w:val="20"/>
            <w:szCs w:val="20"/>
          </w:rPr>
          <w:t xml:space="preserve">  </w:t>
        </w:r>
        <w:r w:rsidRPr="004A34C5">
          <w:rPr>
            <w:rFonts w:asciiTheme="majorHAnsi" w:hAnsiTheme="majorHAnsi" w:cstheme="majorHAnsi"/>
          </w:rPr>
          <w:fldChar w:fldCharType="begin"/>
        </w:r>
        <w:r w:rsidRPr="004A34C5">
          <w:rPr>
            <w:rFonts w:asciiTheme="majorHAnsi" w:hAnsiTheme="majorHAnsi" w:cstheme="majorHAnsi"/>
          </w:rPr>
          <w:instrText>PAGE   \* MERGEFORMAT</w:instrText>
        </w:r>
        <w:r w:rsidRPr="004A34C5">
          <w:rPr>
            <w:rFonts w:asciiTheme="majorHAnsi" w:hAnsiTheme="majorHAnsi" w:cstheme="majorHAnsi"/>
          </w:rPr>
          <w:fldChar w:fldCharType="separate"/>
        </w:r>
        <w:r w:rsidR="00E33492" w:rsidRPr="00E33492">
          <w:rPr>
            <w:rFonts w:asciiTheme="majorHAnsi" w:hAnsiTheme="majorHAnsi" w:cstheme="majorHAnsi"/>
            <w:noProof/>
            <w:lang w:val="fr-FR"/>
          </w:rPr>
          <w:t>1</w:t>
        </w:r>
        <w:r w:rsidRPr="004A34C5">
          <w:rPr>
            <w:rFonts w:asciiTheme="majorHAnsi" w:hAnsiTheme="majorHAnsi" w:cstheme="majorHAnsi"/>
          </w:rPr>
          <w:fldChar w:fldCharType="end"/>
        </w:r>
      </w:p>
    </w:sdtContent>
  </w:sdt>
  <w:p w14:paraId="2CE40142" w14:textId="77777777" w:rsidR="004A34C5" w:rsidRDefault="004A34C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AC3A0" w14:textId="77777777" w:rsidR="00E33492" w:rsidRDefault="00E33492" w:rsidP="004A34C5">
      <w:r>
        <w:separator/>
      </w:r>
    </w:p>
  </w:footnote>
  <w:footnote w:type="continuationSeparator" w:id="0">
    <w:p w14:paraId="18B44257" w14:textId="77777777" w:rsidR="00E33492" w:rsidRDefault="00E33492" w:rsidP="004A34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D1FA5"/>
    <w:multiLevelType w:val="multilevel"/>
    <w:tmpl w:val="FDCC0174"/>
    <w:lvl w:ilvl="0">
      <w:start w:val="1"/>
      <w:numFmt w:val="decimal"/>
      <w:lvlText w:val="%1."/>
      <w:lvlJc w:val="left"/>
      <w:pPr>
        <w:tabs>
          <w:tab w:val="num" w:pos="720"/>
        </w:tabs>
        <w:ind w:left="720" w:hanging="720"/>
      </w:pPr>
      <w:rPr>
        <w:rFonts w:hint="default"/>
        <w:b w:val="0"/>
        <w:i w:val="0"/>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C5"/>
    <w:rsid w:val="000B3EED"/>
    <w:rsid w:val="000B4157"/>
    <w:rsid w:val="001312AD"/>
    <w:rsid w:val="00146763"/>
    <w:rsid w:val="001505BA"/>
    <w:rsid w:val="00181254"/>
    <w:rsid w:val="0020039D"/>
    <w:rsid w:val="002256AD"/>
    <w:rsid w:val="00454EE2"/>
    <w:rsid w:val="004A34C5"/>
    <w:rsid w:val="005F2055"/>
    <w:rsid w:val="00644D3C"/>
    <w:rsid w:val="006E2FF7"/>
    <w:rsid w:val="0082583E"/>
    <w:rsid w:val="009808F9"/>
    <w:rsid w:val="009C1FAA"/>
    <w:rsid w:val="00A01201"/>
    <w:rsid w:val="00B81174"/>
    <w:rsid w:val="00C03D14"/>
    <w:rsid w:val="00C43F82"/>
    <w:rsid w:val="00C639FD"/>
    <w:rsid w:val="00CC7CFF"/>
    <w:rsid w:val="00CF4589"/>
    <w:rsid w:val="00E33492"/>
    <w:rsid w:val="00E62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0EDC"/>
  <w15:chartTrackingRefBased/>
  <w15:docId w15:val="{C2A8FA2B-821A-4D0D-8094-29BD956A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C5"/>
    <w:pPr>
      <w:spacing w:after="0" w:line="240" w:lineRule="auto"/>
    </w:pPr>
    <w:rPr>
      <w:rFonts w:ascii="Times New Roman" w:eastAsia="Times New Roman" w:hAnsi="Times New Roman" w:cs="Times New Roman"/>
      <w:kern w:val="0"/>
      <w:sz w:val="24"/>
      <w:szCs w:val="24"/>
      <w:lang w:val="fr-CD" w:eastAsia="fr-FR"/>
      <w14:ligatures w14:val="none"/>
    </w:rPr>
  </w:style>
  <w:style w:type="paragraph" w:styleId="Titre1">
    <w:name w:val="heading 1"/>
    <w:basedOn w:val="Normal"/>
    <w:next w:val="Normal"/>
    <w:link w:val="Titre1Car"/>
    <w:uiPriority w:val="9"/>
    <w:qFormat/>
    <w:rsid w:val="004A34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A34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A34C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A34C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A34C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A34C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A34C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A34C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A34C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34C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A34C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A34C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A34C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A34C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A34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A34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A34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A34C5"/>
    <w:rPr>
      <w:rFonts w:eastAsiaTheme="majorEastAsia" w:cstheme="majorBidi"/>
      <w:color w:val="272727" w:themeColor="text1" w:themeTint="D8"/>
    </w:rPr>
  </w:style>
  <w:style w:type="paragraph" w:styleId="Titre">
    <w:name w:val="Title"/>
    <w:basedOn w:val="Normal"/>
    <w:next w:val="Normal"/>
    <w:link w:val="TitreCar"/>
    <w:uiPriority w:val="10"/>
    <w:qFormat/>
    <w:rsid w:val="004A34C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34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A34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34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A34C5"/>
    <w:pPr>
      <w:spacing w:before="160"/>
      <w:jc w:val="center"/>
    </w:pPr>
    <w:rPr>
      <w:i/>
      <w:iCs/>
      <w:color w:val="404040" w:themeColor="text1" w:themeTint="BF"/>
    </w:rPr>
  </w:style>
  <w:style w:type="character" w:customStyle="1" w:styleId="CitationCar">
    <w:name w:val="Citation Car"/>
    <w:basedOn w:val="Policepardfaut"/>
    <w:link w:val="Citation"/>
    <w:uiPriority w:val="29"/>
    <w:rsid w:val="004A34C5"/>
    <w:rPr>
      <w:i/>
      <w:iCs/>
      <w:color w:val="404040" w:themeColor="text1" w:themeTint="BF"/>
    </w:rPr>
  </w:style>
  <w:style w:type="paragraph" w:styleId="Pardeliste">
    <w:name w:val="List Paragraph"/>
    <w:aliases w:val="References,Bullets"/>
    <w:basedOn w:val="Normal"/>
    <w:link w:val="PardelisteCar"/>
    <w:uiPriority w:val="34"/>
    <w:qFormat/>
    <w:rsid w:val="004A34C5"/>
    <w:pPr>
      <w:ind w:left="720"/>
      <w:contextualSpacing/>
    </w:pPr>
  </w:style>
  <w:style w:type="character" w:styleId="Emphaseintense">
    <w:name w:val="Intense Emphasis"/>
    <w:basedOn w:val="Policepardfaut"/>
    <w:uiPriority w:val="21"/>
    <w:qFormat/>
    <w:rsid w:val="004A34C5"/>
    <w:rPr>
      <w:i/>
      <w:iCs/>
      <w:color w:val="2F5496" w:themeColor="accent1" w:themeShade="BF"/>
    </w:rPr>
  </w:style>
  <w:style w:type="paragraph" w:styleId="Citationintense">
    <w:name w:val="Intense Quote"/>
    <w:basedOn w:val="Normal"/>
    <w:next w:val="Normal"/>
    <w:link w:val="CitationintenseCar"/>
    <w:uiPriority w:val="30"/>
    <w:qFormat/>
    <w:rsid w:val="004A3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A34C5"/>
    <w:rPr>
      <w:i/>
      <w:iCs/>
      <w:color w:val="2F5496" w:themeColor="accent1" w:themeShade="BF"/>
    </w:rPr>
  </w:style>
  <w:style w:type="character" w:styleId="Rfrenceintense">
    <w:name w:val="Intense Reference"/>
    <w:basedOn w:val="Policepardfaut"/>
    <w:uiPriority w:val="32"/>
    <w:qFormat/>
    <w:rsid w:val="004A34C5"/>
    <w:rPr>
      <w:b/>
      <w:bCs/>
      <w:smallCaps/>
      <w:color w:val="2F5496" w:themeColor="accent1" w:themeShade="BF"/>
      <w:spacing w:val="5"/>
    </w:rPr>
  </w:style>
  <w:style w:type="character" w:styleId="Lienhypertexte">
    <w:name w:val="Hyperlink"/>
    <w:uiPriority w:val="99"/>
    <w:rsid w:val="004A34C5"/>
    <w:rPr>
      <w:color w:val="0000FF"/>
      <w:u w:val="single"/>
    </w:rPr>
  </w:style>
  <w:style w:type="paragraph" w:customStyle="1" w:styleId="Head2">
    <w:name w:val="Head 2"/>
    <w:basedOn w:val="Titre9"/>
    <w:rsid w:val="004A34C5"/>
    <w:pPr>
      <w:keepLines w:val="0"/>
      <w:widowControl w:val="0"/>
      <w:suppressAutoHyphens/>
      <w:outlineLvl w:val="9"/>
    </w:pPr>
    <w:rPr>
      <w:rFonts w:ascii="Times New Roman Bold" w:eastAsia="Times New Roman" w:hAnsi="Times New Roman Bold" w:cs="Times New Roman"/>
      <w:color w:val="auto"/>
      <w:spacing w:val="-4"/>
      <w:sz w:val="32"/>
      <w:lang w:val="en-US"/>
    </w:rPr>
  </w:style>
  <w:style w:type="paragraph" w:styleId="Commentaire">
    <w:name w:val="annotation text"/>
    <w:basedOn w:val="Normal"/>
    <w:link w:val="CommentaireCar"/>
    <w:semiHidden/>
    <w:rsid w:val="004A34C5"/>
    <w:rPr>
      <w:sz w:val="20"/>
      <w:szCs w:val="20"/>
      <w:lang w:val="en-US" w:eastAsia="en-US"/>
    </w:rPr>
  </w:style>
  <w:style w:type="character" w:customStyle="1" w:styleId="CommentaireCar">
    <w:name w:val="Commentaire Car"/>
    <w:basedOn w:val="Policepardfaut"/>
    <w:link w:val="Commentaire"/>
    <w:semiHidden/>
    <w:rsid w:val="004A34C5"/>
    <w:rPr>
      <w:rFonts w:ascii="Times New Roman" w:eastAsia="Times New Roman" w:hAnsi="Times New Roman" w:cs="Times New Roman"/>
      <w:kern w:val="0"/>
      <w:sz w:val="20"/>
      <w:szCs w:val="20"/>
      <w:lang w:val="en-US"/>
      <w14:ligatures w14:val="none"/>
    </w:rPr>
  </w:style>
  <w:style w:type="character" w:styleId="Marquedecommentaire">
    <w:name w:val="annotation reference"/>
    <w:rsid w:val="004A34C5"/>
    <w:rPr>
      <w:sz w:val="16"/>
      <w:szCs w:val="16"/>
    </w:rPr>
  </w:style>
  <w:style w:type="character" w:customStyle="1" w:styleId="PardelisteCar">
    <w:name w:val="Par. de liste Car"/>
    <w:aliases w:val="References Car,Bullets Car"/>
    <w:link w:val="Pardeliste"/>
    <w:uiPriority w:val="34"/>
    <w:rsid w:val="004A34C5"/>
  </w:style>
  <w:style w:type="paragraph" w:styleId="En-tte">
    <w:name w:val="header"/>
    <w:basedOn w:val="Normal"/>
    <w:link w:val="En-tteCar"/>
    <w:uiPriority w:val="99"/>
    <w:rsid w:val="004A34C5"/>
    <w:pPr>
      <w:tabs>
        <w:tab w:val="center" w:pos="4320"/>
        <w:tab w:val="right" w:pos="8640"/>
      </w:tabs>
    </w:pPr>
    <w:rPr>
      <w:lang w:val="fr-FR"/>
    </w:rPr>
  </w:style>
  <w:style w:type="character" w:customStyle="1" w:styleId="En-tteCar">
    <w:name w:val="En-tête Car"/>
    <w:basedOn w:val="Policepardfaut"/>
    <w:link w:val="En-tte"/>
    <w:uiPriority w:val="99"/>
    <w:rsid w:val="004A34C5"/>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4A34C5"/>
    <w:pPr>
      <w:tabs>
        <w:tab w:val="center" w:pos="4536"/>
        <w:tab w:val="right" w:pos="9072"/>
      </w:tabs>
    </w:pPr>
  </w:style>
  <w:style w:type="character" w:customStyle="1" w:styleId="PieddepageCar">
    <w:name w:val="Pied de page Car"/>
    <w:basedOn w:val="Policepardfaut"/>
    <w:link w:val="Pieddepage"/>
    <w:uiPriority w:val="99"/>
    <w:rsid w:val="004A34C5"/>
    <w:rPr>
      <w:rFonts w:ascii="Times New Roman" w:eastAsia="Times New Roman" w:hAnsi="Times New Roman" w:cs="Times New Roman"/>
      <w:kern w:val="0"/>
      <w:sz w:val="24"/>
      <w:szCs w:val="24"/>
      <w:lang w:val="fr-CD" w:eastAsia="fr-FR"/>
      <w14:ligatures w14:val="none"/>
    </w:rPr>
  </w:style>
  <w:style w:type="paragraph" w:styleId="Objetducommentaire">
    <w:name w:val="annotation subject"/>
    <w:basedOn w:val="Commentaire"/>
    <w:next w:val="Commentaire"/>
    <w:link w:val="ObjetducommentaireCar"/>
    <w:uiPriority w:val="99"/>
    <w:semiHidden/>
    <w:unhideWhenUsed/>
    <w:rsid w:val="002256AD"/>
    <w:rPr>
      <w:b/>
      <w:bCs/>
      <w:lang w:val="fr-CD" w:eastAsia="fr-FR"/>
    </w:rPr>
  </w:style>
  <w:style w:type="character" w:customStyle="1" w:styleId="ObjetducommentaireCar">
    <w:name w:val="Objet du commentaire Car"/>
    <w:basedOn w:val="CommentaireCar"/>
    <w:link w:val="Objetducommentaire"/>
    <w:uiPriority w:val="99"/>
    <w:semiHidden/>
    <w:rsid w:val="002256AD"/>
    <w:rPr>
      <w:rFonts w:ascii="Times New Roman" w:eastAsia="Times New Roman" w:hAnsi="Times New Roman" w:cs="Times New Roman"/>
      <w:b/>
      <w:bCs/>
      <w:kern w:val="0"/>
      <w:sz w:val="20"/>
      <w:szCs w:val="20"/>
      <w:lang w:val="fr-CD" w:eastAsia="fr-FR"/>
      <w14:ligatures w14:val="none"/>
    </w:rPr>
  </w:style>
  <w:style w:type="character" w:customStyle="1" w:styleId="UnresolvedMention">
    <w:name w:val="Unresolved Mention"/>
    <w:basedOn w:val="Policepardfaut"/>
    <w:uiPriority w:val="99"/>
    <w:semiHidden/>
    <w:unhideWhenUsed/>
    <w:rsid w:val="00B81174"/>
    <w:rPr>
      <w:color w:val="605E5C"/>
      <w:shd w:val="clear" w:color="auto" w:fill="E1DFDD"/>
    </w:rPr>
  </w:style>
  <w:style w:type="paragraph" w:styleId="Explorateurdedocuments">
    <w:name w:val="Document Map"/>
    <w:basedOn w:val="Normal"/>
    <w:link w:val="ExplorateurdedocumentsCar"/>
    <w:uiPriority w:val="99"/>
    <w:semiHidden/>
    <w:unhideWhenUsed/>
    <w:rsid w:val="00E62950"/>
  </w:style>
  <w:style w:type="character" w:customStyle="1" w:styleId="ExplorateurdedocumentsCar">
    <w:name w:val="Explorateur de documents Car"/>
    <w:basedOn w:val="Policepardfaut"/>
    <w:link w:val="Explorateurdedocuments"/>
    <w:uiPriority w:val="99"/>
    <w:semiHidden/>
    <w:rsid w:val="00E62950"/>
    <w:rPr>
      <w:rFonts w:ascii="Times New Roman" w:eastAsia="Times New Roman" w:hAnsi="Times New Roman" w:cs="Times New Roman"/>
      <w:kern w:val="0"/>
      <w:sz w:val="24"/>
      <w:szCs w:val="24"/>
      <w:lang w:val="fr-CD"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muteba@2ac.fr" TargetMode="External"/><Relationship Id="rId12" Type="http://schemas.openxmlformats.org/officeDocument/2006/relationships/hyperlink" Target="mailto:dsalimatou@uagcp-guinee.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mailto:tenders.uagcp@gmail.com" TargetMode="External"/><Relationship Id="rId10" Type="http://schemas.openxmlformats.org/officeDocument/2006/relationships/hyperlink" Target="mailto:mickacamara@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997</Words>
  <Characters>5487</Characters>
  <Application>Microsoft Macintosh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M</dc:creator>
  <cp:keywords/>
  <dc:description/>
  <cp:lastModifiedBy>Microsoft Office User</cp:lastModifiedBy>
  <cp:revision>11</cp:revision>
  <cp:lastPrinted>2025-07-30T15:12:00Z</cp:lastPrinted>
  <dcterms:created xsi:type="dcterms:W3CDTF">2025-07-24T16:56:00Z</dcterms:created>
  <dcterms:modified xsi:type="dcterms:W3CDTF">2025-08-02T13:27:00Z</dcterms:modified>
</cp:coreProperties>
</file>