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F17B" w14:textId="77777777" w:rsidR="001E210F" w:rsidRPr="00A028ED" w:rsidRDefault="001E210F" w:rsidP="001E210F">
      <w:pPr>
        <w:spacing w:after="0" w:line="240" w:lineRule="auto"/>
        <w:jc w:val="center"/>
        <w:rPr>
          <w:rFonts w:ascii="Century Gothic" w:eastAsia="Times New Roman" w:hAnsi="Century Gothic" w:cs="Times New Roman"/>
          <w:b/>
          <w:sz w:val="28"/>
          <w:szCs w:val="28"/>
          <w:lang w:eastAsia="fr-FR"/>
        </w:rPr>
      </w:pPr>
      <w:r w:rsidRPr="00A028ED">
        <w:rPr>
          <w:rFonts w:ascii="Century Gothic" w:eastAsia="Times New Roman" w:hAnsi="Century Gothic" w:cs="Times New Roman"/>
          <w:b/>
          <w:sz w:val="32"/>
          <w:szCs w:val="32"/>
          <w:lang w:eastAsia="fr-FR"/>
        </w:rPr>
        <w:t>R</w:t>
      </w:r>
      <w:r w:rsidRPr="00A028ED">
        <w:rPr>
          <w:rFonts w:ascii="Century Gothic" w:eastAsia="Times New Roman" w:hAnsi="Century Gothic" w:cs="Times New Roman"/>
          <w:b/>
          <w:sz w:val="28"/>
          <w:szCs w:val="28"/>
          <w:lang w:eastAsia="fr-FR"/>
        </w:rPr>
        <w:t xml:space="preserve">EPUBLIQUE DE </w:t>
      </w:r>
      <w:r w:rsidRPr="00A028ED">
        <w:rPr>
          <w:rFonts w:ascii="Century Gothic" w:eastAsia="Times New Roman" w:hAnsi="Century Gothic" w:cs="Times New Roman"/>
          <w:b/>
          <w:sz w:val="32"/>
          <w:szCs w:val="32"/>
          <w:lang w:eastAsia="fr-FR"/>
        </w:rPr>
        <w:t>G</w:t>
      </w:r>
      <w:r w:rsidRPr="00A028ED">
        <w:rPr>
          <w:rFonts w:ascii="Century Gothic" w:eastAsia="Times New Roman" w:hAnsi="Century Gothic" w:cs="Times New Roman"/>
          <w:b/>
          <w:sz w:val="28"/>
          <w:szCs w:val="28"/>
          <w:lang w:eastAsia="fr-FR"/>
        </w:rPr>
        <w:t>UINEE</w:t>
      </w:r>
    </w:p>
    <w:p w14:paraId="1695FDC3" w14:textId="77777777" w:rsidR="001E210F" w:rsidRPr="00A028ED" w:rsidRDefault="001E210F" w:rsidP="001E210F">
      <w:pPr>
        <w:spacing w:after="0" w:line="240" w:lineRule="auto"/>
        <w:jc w:val="center"/>
        <w:rPr>
          <w:rFonts w:ascii="Century Gothic" w:eastAsia="Times New Roman" w:hAnsi="Century Gothic" w:cs="Times New Roman"/>
          <w:b/>
          <w:i/>
          <w:szCs w:val="24"/>
          <w:lang w:eastAsia="fr-FR"/>
        </w:rPr>
      </w:pPr>
    </w:p>
    <w:p w14:paraId="1334E1E8" w14:textId="77777777" w:rsidR="001E210F" w:rsidRPr="00A028ED" w:rsidRDefault="001E210F" w:rsidP="001E210F">
      <w:pPr>
        <w:spacing w:after="0" w:line="240" w:lineRule="auto"/>
        <w:jc w:val="center"/>
        <w:rPr>
          <w:rFonts w:ascii="Century Gothic" w:eastAsia="Times New Roman" w:hAnsi="Century Gothic" w:cs="Times New Roman"/>
          <w:b/>
          <w:i/>
          <w:sz w:val="20"/>
          <w:szCs w:val="20"/>
          <w:lang w:eastAsia="fr-FR"/>
        </w:rPr>
      </w:pPr>
      <w:r w:rsidRPr="00A028ED">
        <w:rPr>
          <w:rFonts w:ascii="Century Gothic" w:eastAsia="Times New Roman" w:hAnsi="Century Gothic" w:cs="Times New Roman"/>
          <w:b/>
          <w:i/>
          <w:sz w:val="20"/>
          <w:szCs w:val="20"/>
          <w:lang w:eastAsia="fr-FR"/>
        </w:rPr>
        <w:t>Travail - Justice - Solidarité</w:t>
      </w:r>
    </w:p>
    <w:p w14:paraId="0671541B" w14:textId="706EAB5A" w:rsidR="001E210F" w:rsidRPr="00A028ED" w:rsidRDefault="001E210F" w:rsidP="001E210F">
      <w:pPr>
        <w:spacing w:after="0" w:line="240" w:lineRule="auto"/>
        <w:jc w:val="center"/>
        <w:rPr>
          <w:rFonts w:ascii="Century Gothic" w:eastAsia="Times New Roman" w:hAnsi="Century Gothic" w:cs="Times New Roman"/>
          <w:b/>
          <w:sz w:val="24"/>
          <w:szCs w:val="24"/>
          <w:lang w:eastAsia="fr-FR"/>
        </w:rPr>
      </w:pPr>
      <w:r w:rsidRPr="00A028ED">
        <w:rPr>
          <w:rFonts w:ascii="Century Gothic" w:eastAsia="Times New Roman" w:hAnsi="Century Gothic" w:cs="Times New Roman"/>
          <w:b/>
          <w:sz w:val="36"/>
          <w:szCs w:val="36"/>
          <w:lang w:eastAsia="fr-FR"/>
        </w:rPr>
        <w:t>M</w:t>
      </w:r>
      <w:r w:rsidRPr="00A028ED">
        <w:rPr>
          <w:rFonts w:ascii="Century Gothic" w:eastAsia="Times New Roman" w:hAnsi="Century Gothic" w:cs="Times New Roman"/>
          <w:b/>
          <w:sz w:val="28"/>
          <w:szCs w:val="28"/>
          <w:lang w:eastAsia="fr-FR"/>
        </w:rPr>
        <w:t>INISTERE DE L’HYDRAULIQUE ET DES HYDROCARBURES (MHH)</w:t>
      </w:r>
    </w:p>
    <w:p w14:paraId="44B45052" w14:textId="77777777" w:rsidR="001E210F" w:rsidRPr="00A028ED" w:rsidRDefault="001E210F" w:rsidP="001E210F">
      <w:pPr>
        <w:spacing w:after="0" w:line="240" w:lineRule="auto"/>
        <w:jc w:val="center"/>
        <w:rPr>
          <w:rFonts w:ascii="Century Gothic" w:eastAsia="Times New Roman" w:hAnsi="Century Gothic" w:cs="Times New Roman"/>
          <w:b/>
          <w:sz w:val="24"/>
          <w:szCs w:val="24"/>
          <w:lang w:eastAsia="fr-FR"/>
        </w:rPr>
      </w:pPr>
      <w:r w:rsidRPr="00A028ED">
        <w:rPr>
          <w:rFonts w:ascii="Century Gothic" w:eastAsia="Times New Roman" w:hAnsi="Century Gothic" w:cs="Times New Roman"/>
          <w:b/>
          <w:sz w:val="24"/>
          <w:szCs w:val="24"/>
          <w:lang w:eastAsia="fr-FR"/>
        </w:rPr>
        <w:t xml:space="preserve">    --------------------</w:t>
      </w:r>
    </w:p>
    <w:p w14:paraId="715D3F2A" w14:textId="77777777" w:rsidR="001E210F" w:rsidRPr="00A028ED" w:rsidRDefault="001E210F" w:rsidP="001E210F">
      <w:pPr>
        <w:spacing w:after="0" w:line="240" w:lineRule="auto"/>
        <w:jc w:val="center"/>
        <w:rPr>
          <w:rFonts w:ascii="Century Gothic" w:eastAsia="Times New Roman" w:hAnsi="Century Gothic" w:cs="Times New Roman"/>
          <w:b/>
          <w:sz w:val="28"/>
          <w:szCs w:val="28"/>
          <w:lang w:eastAsia="fr-FR"/>
        </w:rPr>
      </w:pPr>
      <w:r w:rsidRPr="00A028ED">
        <w:rPr>
          <w:rFonts w:ascii="Century Gothic" w:eastAsia="Times New Roman" w:hAnsi="Century Gothic" w:cs="Times New Roman"/>
          <w:b/>
          <w:sz w:val="36"/>
          <w:szCs w:val="36"/>
          <w:lang w:eastAsia="fr-FR"/>
        </w:rPr>
        <w:t>S</w:t>
      </w:r>
      <w:r w:rsidRPr="00A028ED">
        <w:rPr>
          <w:rFonts w:ascii="Century Gothic" w:eastAsia="Times New Roman" w:hAnsi="Century Gothic" w:cs="Times New Roman"/>
          <w:b/>
          <w:sz w:val="28"/>
          <w:szCs w:val="28"/>
          <w:lang w:eastAsia="fr-FR"/>
        </w:rPr>
        <w:t>OCIETE DES EAUX DE GUINEE (SEG-SA)</w:t>
      </w:r>
    </w:p>
    <w:p w14:paraId="214D174F" w14:textId="77777777" w:rsidR="001E210F" w:rsidRPr="00A028ED" w:rsidRDefault="001E210F" w:rsidP="001E210F">
      <w:pPr>
        <w:spacing w:after="0" w:line="240" w:lineRule="auto"/>
        <w:jc w:val="center"/>
        <w:rPr>
          <w:rFonts w:ascii="Century Gothic" w:eastAsia="Times New Roman" w:hAnsi="Century Gothic" w:cs="Times New Roman"/>
          <w:b/>
          <w:sz w:val="24"/>
          <w:szCs w:val="24"/>
          <w:lang w:eastAsia="fr-FR"/>
        </w:rPr>
      </w:pPr>
      <w:r w:rsidRPr="00A028ED">
        <w:rPr>
          <w:rFonts w:ascii="Century Gothic" w:eastAsia="Times New Roman" w:hAnsi="Century Gothic" w:cs="Times New Roman"/>
          <w:b/>
          <w:sz w:val="24"/>
          <w:szCs w:val="24"/>
          <w:lang w:eastAsia="fr-FR"/>
        </w:rPr>
        <w:t xml:space="preserve">    --------------------</w:t>
      </w:r>
    </w:p>
    <w:p w14:paraId="53DE2142" w14:textId="77777777" w:rsidR="001968A4" w:rsidRPr="00A028ED" w:rsidRDefault="001968A4">
      <w:pPr>
        <w:spacing w:after="0"/>
        <w:rPr>
          <w:rFonts w:ascii="Century Gothic" w:hAnsi="Century Gothic" w:cs="Times New Roman"/>
          <w:b/>
          <w:sz w:val="24"/>
          <w:szCs w:val="24"/>
        </w:rPr>
      </w:pPr>
    </w:p>
    <w:p w14:paraId="0BAED319" w14:textId="352752CD" w:rsidR="001968A4" w:rsidRDefault="00A715C2">
      <w:pPr>
        <w:jc w:val="center"/>
        <w:rPr>
          <w:rFonts w:ascii="Century Gothic" w:hAnsi="Century Gothic" w:cs="Times New Roman"/>
          <w:b/>
          <w:sz w:val="28"/>
          <w:szCs w:val="28"/>
        </w:rPr>
      </w:pPr>
      <w:r w:rsidRPr="00931216">
        <w:rPr>
          <w:rFonts w:ascii="Century Gothic" w:hAnsi="Century Gothic" w:cs="Times New Roman"/>
          <w:b/>
          <w:sz w:val="28"/>
          <w:szCs w:val="28"/>
        </w:rPr>
        <w:t>AVIS D’ENGAGEMENT PRÉCOCE D</w:t>
      </w:r>
      <w:r w:rsidR="0071125F" w:rsidRPr="002E2F07">
        <w:rPr>
          <w:rFonts w:ascii="Century Gothic" w:hAnsi="Century Gothic" w:cs="Times New Roman"/>
          <w:b/>
          <w:sz w:val="28"/>
          <w:szCs w:val="28"/>
        </w:rPr>
        <w:t>E</w:t>
      </w:r>
      <w:r w:rsidRPr="00931216">
        <w:rPr>
          <w:rFonts w:ascii="Century Gothic" w:hAnsi="Century Gothic" w:cs="Times New Roman"/>
          <w:b/>
          <w:sz w:val="28"/>
          <w:szCs w:val="28"/>
        </w:rPr>
        <w:t xml:space="preserve"> MARCHÉ</w:t>
      </w:r>
    </w:p>
    <w:p w14:paraId="3A0879AF" w14:textId="77777777" w:rsidR="002E2F07" w:rsidRDefault="002E2F07" w:rsidP="002E2F07">
      <w:pPr>
        <w:rPr>
          <w:rFonts w:ascii="Century Gothic" w:hAnsi="Century Gothic" w:cs="Times New Roman"/>
          <w:b/>
          <w:sz w:val="28"/>
          <w:szCs w:val="28"/>
          <w:lang w:eastAsia="zh-CN"/>
        </w:rPr>
      </w:pPr>
    </w:p>
    <w:p w14:paraId="3542F095" w14:textId="6192064C" w:rsidR="0071125F" w:rsidRPr="00A028ED" w:rsidRDefault="00A715C2" w:rsidP="002E2F07">
      <w:pPr>
        <w:jc w:val="both"/>
        <w:rPr>
          <w:rFonts w:ascii="Century Gothic" w:hAnsi="Century Gothic" w:cs="Times New Roman"/>
          <w:spacing w:val="-3"/>
          <w:sz w:val="24"/>
          <w:szCs w:val="24"/>
        </w:rPr>
      </w:pPr>
      <w:r w:rsidRPr="00931216">
        <w:rPr>
          <w:rFonts w:ascii="Century Gothic" w:hAnsi="Century Gothic" w:cs="Times New Roman"/>
          <w:b/>
          <w:sz w:val="24"/>
          <w:szCs w:val="24"/>
        </w:rPr>
        <w:t xml:space="preserve">NOM DU PROJET : </w:t>
      </w:r>
      <w:r w:rsidRPr="00A028ED">
        <w:rPr>
          <w:rFonts w:ascii="Century Gothic" w:hAnsi="Century Gothic" w:cs="Times New Roman"/>
          <w:spacing w:val="-3"/>
          <w:sz w:val="24"/>
          <w:szCs w:val="24"/>
        </w:rPr>
        <w:t xml:space="preserve">PROJET </w:t>
      </w:r>
      <w:r w:rsidR="0071125F" w:rsidRPr="00A028ED">
        <w:rPr>
          <w:rFonts w:ascii="Century Gothic" w:hAnsi="Century Gothic" w:cs="Times New Roman"/>
          <w:spacing w:val="-3"/>
          <w:sz w:val="24"/>
          <w:szCs w:val="24"/>
        </w:rPr>
        <w:t>EAU ET ASSAINISSEMENT DE GUINEE (PEAG)</w:t>
      </w:r>
    </w:p>
    <w:p w14:paraId="2B65F4BC" w14:textId="45337B52" w:rsidR="002E2F07" w:rsidRDefault="00A715C2" w:rsidP="002E2F07">
      <w:pPr>
        <w:spacing w:before="60" w:after="60"/>
        <w:jc w:val="both"/>
        <w:rPr>
          <w:rFonts w:ascii="Century Gothic" w:hAnsi="Century Gothic" w:cs="Times New Roman"/>
          <w:sz w:val="24"/>
          <w:szCs w:val="24"/>
        </w:rPr>
      </w:pPr>
      <w:r w:rsidRPr="00A028ED">
        <w:rPr>
          <w:rFonts w:ascii="Century Gothic" w:hAnsi="Century Gothic" w:cs="Times New Roman"/>
          <w:b/>
          <w:sz w:val="24"/>
          <w:szCs w:val="24"/>
        </w:rPr>
        <w:t>OBJET :</w:t>
      </w:r>
      <w:r w:rsidR="0071125F" w:rsidRPr="00A028ED">
        <w:rPr>
          <w:rFonts w:ascii="Century Gothic" w:hAnsi="Century Gothic" w:cs="Times New Roman"/>
          <w:sz w:val="24"/>
          <w:szCs w:val="24"/>
        </w:rPr>
        <w:t xml:space="preserve"> </w:t>
      </w:r>
      <w:r w:rsidRPr="00A028ED">
        <w:rPr>
          <w:rFonts w:ascii="Century Gothic" w:hAnsi="Century Gothic" w:cs="Times New Roman"/>
          <w:sz w:val="24"/>
          <w:szCs w:val="24"/>
        </w:rPr>
        <w:t>CONSULTATION PRELIMINAIRE</w:t>
      </w:r>
      <w:r w:rsidR="0071125F" w:rsidRPr="00A028ED">
        <w:rPr>
          <w:rFonts w:ascii="Century Gothic" w:hAnsi="Century Gothic" w:cs="Times New Roman"/>
          <w:sz w:val="24"/>
          <w:szCs w:val="24"/>
        </w:rPr>
        <w:t xml:space="preserve"> </w:t>
      </w:r>
      <w:r w:rsidRPr="00A028ED">
        <w:rPr>
          <w:rFonts w:ascii="Century Gothic" w:hAnsi="Century Gothic" w:cs="Times New Roman"/>
          <w:sz w:val="24"/>
          <w:szCs w:val="24"/>
        </w:rPr>
        <w:t xml:space="preserve">POUR LES TRAVAUX </w:t>
      </w:r>
      <w:r w:rsidR="007065FE">
        <w:rPr>
          <w:rFonts w:ascii="Century Gothic" w:hAnsi="Century Gothic" w:cs="Times New Roman"/>
          <w:sz w:val="24"/>
          <w:szCs w:val="24"/>
        </w:rPr>
        <w:t xml:space="preserve">DE </w:t>
      </w:r>
      <w:r w:rsidR="0024048A">
        <w:rPr>
          <w:rFonts w:ascii="Century Gothic" w:hAnsi="Century Gothic" w:cs="Times New Roman"/>
          <w:sz w:val="24"/>
          <w:szCs w:val="24"/>
        </w:rPr>
        <w:t xml:space="preserve">CONSTRUCTION DES RESERVOIRS DE </w:t>
      </w:r>
      <w:r w:rsidR="0024048A" w:rsidRPr="0024048A">
        <w:rPr>
          <w:rFonts w:ascii="Century Gothic" w:hAnsi="Century Gothic" w:cs="Times New Roman"/>
          <w:sz w:val="24"/>
          <w:szCs w:val="24"/>
        </w:rPr>
        <w:t xml:space="preserve">KAGBELEN &amp; KOURIA </w:t>
      </w:r>
      <w:r w:rsidR="0024048A">
        <w:rPr>
          <w:rFonts w:ascii="Century Gothic" w:hAnsi="Century Gothic" w:cs="Times New Roman"/>
          <w:sz w:val="24"/>
          <w:szCs w:val="24"/>
        </w:rPr>
        <w:t xml:space="preserve">Y COMPRIS LES RESEAUX DE DISTRIBUTION </w:t>
      </w:r>
      <w:r w:rsidR="0008406D">
        <w:rPr>
          <w:rFonts w:ascii="Century Gothic" w:hAnsi="Century Gothic" w:cs="Times New Roman"/>
          <w:sz w:val="24"/>
          <w:szCs w:val="24"/>
        </w:rPr>
        <w:t>ASSOCIES ET</w:t>
      </w:r>
      <w:r w:rsidR="0024048A">
        <w:rPr>
          <w:rFonts w:ascii="Century Gothic" w:hAnsi="Century Gothic" w:cs="Times New Roman"/>
          <w:sz w:val="24"/>
          <w:szCs w:val="24"/>
        </w:rPr>
        <w:t xml:space="preserve"> CELUI DE LA ZONE </w:t>
      </w:r>
      <w:r w:rsidR="0024048A" w:rsidRPr="0024048A">
        <w:rPr>
          <w:rFonts w:ascii="Century Gothic" w:hAnsi="Century Gothic" w:cs="Times New Roman"/>
          <w:sz w:val="24"/>
          <w:szCs w:val="24"/>
        </w:rPr>
        <w:t>MANEAH</w:t>
      </w:r>
    </w:p>
    <w:p w14:paraId="44E4C671" w14:textId="77777777" w:rsidR="0024048A" w:rsidRPr="0024048A" w:rsidRDefault="0024048A" w:rsidP="002E2F07">
      <w:pPr>
        <w:spacing w:before="60" w:after="60"/>
        <w:jc w:val="both"/>
        <w:rPr>
          <w:rFonts w:ascii="Century Gothic" w:hAnsi="Century Gothic" w:cs="Times New Roman"/>
          <w:sz w:val="24"/>
          <w:szCs w:val="24"/>
        </w:rPr>
      </w:pPr>
    </w:p>
    <w:p w14:paraId="35557DE2" w14:textId="77777777" w:rsidR="001968A4" w:rsidRPr="00931216" w:rsidRDefault="00A715C2">
      <w:pPr>
        <w:jc w:val="both"/>
        <w:rPr>
          <w:rFonts w:ascii="Century Gothic" w:hAnsi="Century Gothic" w:cs="Times New Roman"/>
          <w:b/>
          <w:sz w:val="24"/>
          <w:szCs w:val="24"/>
        </w:rPr>
      </w:pPr>
      <w:r w:rsidRPr="00931216">
        <w:rPr>
          <w:rFonts w:ascii="Century Gothic" w:hAnsi="Century Gothic" w:cs="Times New Roman"/>
          <w:b/>
          <w:sz w:val="24"/>
          <w:szCs w:val="24"/>
        </w:rPr>
        <w:t>1. INTRODUCTION</w:t>
      </w:r>
    </w:p>
    <w:p w14:paraId="6911D5BD" w14:textId="220132F5" w:rsidR="00B2514B" w:rsidRPr="00A028ED" w:rsidRDefault="00B2514B">
      <w:pPr>
        <w:jc w:val="both"/>
        <w:rPr>
          <w:rFonts w:ascii="Century Gothic" w:hAnsi="Century Gothic"/>
        </w:rPr>
      </w:pPr>
      <w:r w:rsidRPr="00A028ED">
        <w:rPr>
          <w:rFonts w:ascii="Century Gothic" w:hAnsi="Century Gothic"/>
        </w:rPr>
        <w:t>La Stratégie Sectorielle de Développement de l’Eau Potable en milieu urbain en Guinée (SSDEP</w:t>
      </w:r>
      <w:r w:rsidR="00382073" w:rsidRPr="00A028ED">
        <w:rPr>
          <w:rFonts w:ascii="Century Gothic" w:hAnsi="Century Gothic"/>
        </w:rPr>
        <w:t>G</w:t>
      </w:r>
      <w:r w:rsidRPr="00A028ED">
        <w:rPr>
          <w:rFonts w:ascii="Century Gothic" w:hAnsi="Century Gothic"/>
        </w:rPr>
        <w:t xml:space="preserve">) 2024-2040 validée en décembre 2023 ambitionne d’accroître l’accès au service public d’eau potable dans les centres urbains, de mettre en œuvre un programme d’investissement ambitieux estimé à 3 milliards d’euros à </w:t>
      </w:r>
      <w:r w:rsidR="00840BCB">
        <w:rPr>
          <w:rFonts w:ascii="Century Gothic" w:hAnsi="Century Gothic"/>
        </w:rPr>
        <w:t>l’</w:t>
      </w:r>
      <w:r w:rsidRPr="00A028ED">
        <w:rPr>
          <w:rFonts w:ascii="Century Gothic" w:hAnsi="Century Gothic"/>
        </w:rPr>
        <w:t>horizon 2040, d’améliorer les performances du service et d’en assurer l’équilibre financier et la durabilité.</w:t>
      </w:r>
    </w:p>
    <w:p w14:paraId="56F14A0D" w14:textId="38512D0E" w:rsidR="004E021E" w:rsidRPr="00A028ED" w:rsidRDefault="004E021E" w:rsidP="004E021E">
      <w:pPr>
        <w:spacing w:before="120" w:after="120" w:line="276" w:lineRule="auto"/>
        <w:jc w:val="both"/>
        <w:rPr>
          <w:rFonts w:ascii="Century Gothic" w:hAnsi="Century Gothic"/>
        </w:rPr>
      </w:pPr>
      <w:r w:rsidRPr="00A028ED">
        <w:rPr>
          <w:rFonts w:ascii="Century Gothic" w:hAnsi="Century Gothic"/>
        </w:rPr>
        <w:t xml:space="preserve">C’est dans cette optique que le présent projet dénommé </w:t>
      </w:r>
      <w:r w:rsidRPr="00A028ED">
        <w:rPr>
          <w:rFonts w:ascii="Century Gothic" w:hAnsi="Century Gothic"/>
          <w:b/>
          <w:bCs/>
        </w:rPr>
        <w:t>Projet Eau et Assainissement de Guinée (PEAG)</w:t>
      </w:r>
      <w:r w:rsidRPr="00A028ED">
        <w:rPr>
          <w:rFonts w:ascii="Century Gothic" w:hAnsi="Century Gothic"/>
        </w:rPr>
        <w:t xml:space="preserve"> en visant la réalisation d’une partie des travaux de la </w:t>
      </w:r>
      <w:r w:rsidR="002E2F07">
        <w:rPr>
          <w:rFonts w:ascii="Century Gothic" w:hAnsi="Century Gothic"/>
        </w:rPr>
        <w:t>1</w:t>
      </w:r>
      <w:r w:rsidR="002E2F07" w:rsidRPr="002E2F07">
        <w:rPr>
          <w:rFonts w:ascii="Century Gothic" w:hAnsi="Century Gothic"/>
          <w:vertAlign w:val="superscript"/>
        </w:rPr>
        <w:t>ère</w:t>
      </w:r>
      <w:r w:rsidR="002E2F07">
        <w:rPr>
          <w:rFonts w:ascii="Century Gothic" w:hAnsi="Century Gothic"/>
        </w:rPr>
        <w:t xml:space="preserve"> tranche</w:t>
      </w:r>
      <w:r w:rsidRPr="00A028ED">
        <w:rPr>
          <w:rFonts w:ascii="Century Gothic" w:hAnsi="Century Gothic"/>
        </w:rPr>
        <w:t xml:space="preserve"> du Schéma Directeur d’Alimentation en Eau Potable du Grand Conakry (SDAEPGC), s’inscrit en droite ligne de </w:t>
      </w:r>
      <w:r w:rsidRPr="00A028ED">
        <w:rPr>
          <w:rFonts w:ascii="Century Gothic" w:hAnsi="Century Gothic"/>
          <w:b/>
          <w:bCs/>
        </w:rPr>
        <w:t xml:space="preserve">l’Axe 1 (« Investir pour un accès universel à l’eau potable en milieu urbain ») </w:t>
      </w:r>
      <w:r w:rsidRPr="002E2F07">
        <w:rPr>
          <w:rFonts w:ascii="Century Gothic" w:hAnsi="Century Gothic"/>
        </w:rPr>
        <w:t xml:space="preserve">du </w:t>
      </w:r>
      <w:r w:rsidRPr="00A028ED">
        <w:rPr>
          <w:rFonts w:ascii="Century Gothic" w:hAnsi="Century Gothic"/>
        </w:rPr>
        <w:t xml:space="preserve">SSDEPG. </w:t>
      </w:r>
    </w:p>
    <w:p w14:paraId="01B2B682" w14:textId="2279F05B" w:rsidR="004E021E" w:rsidRDefault="004E021E" w:rsidP="004E021E">
      <w:pPr>
        <w:spacing w:before="120" w:after="120"/>
        <w:jc w:val="both"/>
        <w:rPr>
          <w:rFonts w:ascii="Century Gothic" w:hAnsi="Century Gothic"/>
        </w:rPr>
      </w:pPr>
      <w:r w:rsidRPr="00A028ED">
        <w:rPr>
          <w:rFonts w:ascii="Century Gothic" w:hAnsi="Century Gothic"/>
        </w:rPr>
        <w:t>Ces travaux de la première tranche du SDAEPGC consistent au renforcement des capacités de production (200 000 m3/jour), de transport (100km), de Stockage (63 600m</w:t>
      </w:r>
      <w:r w:rsidRPr="00A028ED">
        <w:rPr>
          <w:rFonts w:ascii="Century Gothic" w:hAnsi="Century Gothic"/>
          <w:vertAlign w:val="superscript"/>
        </w:rPr>
        <w:t>3</w:t>
      </w:r>
      <w:r w:rsidRPr="00A028ED">
        <w:rPr>
          <w:rFonts w:ascii="Century Gothic" w:hAnsi="Century Gothic"/>
        </w:rPr>
        <w:t xml:space="preserve">) et de distribution (400km) d’eau potable pour le Grand Conakry. Le financement est assuré par les partenaires techniques et Financiers et le Gouvernement Guinéen : Exim Bank of India pour 170 MUSD, Banque Mondiale (200 MUSD), la Banque européenne d'investissement (BEI) avec une participation de 220 ME, l'Union européenne (UE) avec une subvention de 26 ME et le Gouvernement Guinéen pour 15 MUSD. </w:t>
      </w:r>
    </w:p>
    <w:p w14:paraId="288548B4" w14:textId="77777777" w:rsidR="001968A4" w:rsidRPr="00A028ED" w:rsidRDefault="00A715C2">
      <w:pPr>
        <w:rPr>
          <w:rFonts w:ascii="Century Gothic" w:hAnsi="Century Gothic" w:cs="Times New Roman"/>
          <w:b/>
          <w:sz w:val="24"/>
          <w:szCs w:val="24"/>
        </w:rPr>
      </w:pPr>
      <w:r w:rsidRPr="00A028ED">
        <w:rPr>
          <w:rFonts w:ascii="Century Gothic" w:hAnsi="Century Gothic" w:cs="Times New Roman"/>
          <w:b/>
          <w:sz w:val="24"/>
          <w:szCs w:val="24"/>
        </w:rPr>
        <w:t>2. OBJECTIFS DE LA CONSULTATION</w:t>
      </w:r>
    </w:p>
    <w:p w14:paraId="1C42DAA3" w14:textId="77777777" w:rsidR="001968A4" w:rsidRPr="00A028ED" w:rsidRDefault="00A715C2">
      <w:pPr>
        <w:rPr>
          <w:rFonts w:ascii="Century Gothic" w:hAnsi="Century Gothic"/>
        </w:rPr>
      </w:pPr>
      <w:r w:rsidRPr="00A028ED">
        <w:rPr>
          <w:rFonts w:ascii="Century Gothic" w:hAnsi="Century Gothic"/>
        </w:rPr>
        <w:t>Les objectifs de cette démarche se présentent comme suit :</w:t>
      </w:r>
    </w:p>
    <w:p w14:paraId="4BCA705D" w14:textId="16215334" w:rsidR="001968A4" w:rsidRPr="00A028ED" w:rsidRDefault="00A715C2">
      <w:pPr>
        <w:pStyle w:val="Paragraphedeliste"/>
        <w:numPr>
          <w:ilvl w:val="0"/>
          <w:numId w:val="1"/>
        </w:numPr>
        <w:spacing w:after="160" w:line="278" w:lineRule="auto"/>
        <w:jc w:val="left"/>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t>Évaluer l’intérêt des acteurs du marché pour le projet proposé</w:t>
      </w:r>
      <w:r w:rsidR="00425928" w:rsidRPr="00A028ED">
        <w:rPr>
          <w:rFonts w:ascii="Century Gothic" w:eastAsiaTheme="minorEastAsia" w:hAnsi="Century Gothic" w:cstheme="minorBidi"/>
          <w:sz w:val="22"/>
          <w:szCs w:val="22"/>
          <w:lang w:eastAsia="en-US"/>
        </w:rPr>
        <w:t> ;</w:t>
      </w:r>
    </w:p>
    <w:p w14:paraId="30456EC3" w14:textId="0F5299F3" w:rsidR="001968A4" w:rsidRPr="00A028ED" w:rsidRDefault="00A715C2">
      <w:pPr>
        <w:pStyle w:val="Paragraphedeliste"/>
        <w:numPr>
          <w:ilvl w:val="0"/>
          <w:numId w:val="1"/>
        </w:numPr>
        <w:spacing w:after="160" w:line="278" w:lineRule="auto"/>
        <w:jc w:val="left"/>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t>Recueillir des retours sur les principales exigences, les risques et les opportunités du projet</w:t>
      </w:r>
      <w:r w:rsidR="00425928" w:rsidRPr="00A028ED">
        <w:rPr>
          <w:rFonts w:ascii="Century Gothic" w:eastAsiaTheme="minorEastAsia" w:hAnsi="Century Gothic" w:cstheme="minorBidi"/>
          <w:sz w:val="22"/>
          <w:szCs w:val="22"/>
          <w:lang w:eastAsia="en-US"/>
        </w:rPr>
        <w:t> ;</w:t>
      </w:r>
    </w:p>
    <w:p w14:paraId="72B6F38C" w14:textId="454457B4" w:rsidR="001968A4" w:rsidRPr="00A028ED" w:rsidRDefault="00A715C2">
      <w:pPr>
        <w:pStyle w:val="Paragraphedeliste"/>
        <w:numPr>
          <w:ilvl w:val="0"/>
          <w:numId w:val="1"/>
        </w:numPr>
        <w:spacing w:after="160" w:line="278" w:lineRule="auto"/>
        <w:jc w:val="left"/>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lastRenderedPageBreak/>
        <w:t>Identifier les partenaires potentiels du secteur privé</w:t>
      </w:r>
      <w:r w:rsidR="00425928" w:rsidRPr="00A028ED">
        <w:rPr>
          <w:rFonts w:ascii="Century Gothic" w:eastAsiaTheme="minorEastAsia" w:hAnsi="Century Gothic" w:cstheme="minorBidi"/>
          <w:sz w:val="22"/>
          <w:szCs w:val="22"/>
          <w:lang w:eastAsia="en-US"/>
        </w:rPr>
        <w:t> ;</w:t>
      </w:r>
    </w:p>
    <w:p w14:paraId="6FAA315A" w14:textId="69E55C3F" w:rsidR="001968A4" w:rsidRPr="00A028ED" w:rsidRDefault="00A715C2">
      <w:pPr>
        <w:pStyle w:val="Paragraphedeliste"/>
        <w:numPr>
          <w:ilvl w:val="0"/>
          <w:numId w:val="1"/>
        </w:numPr>
        <w:spacing w:after="160" w:line="278" w:lineRule="auto"/>
        <w:jc w:val="left"/>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t>Optimiser la structuration du projet avant le lancement d’un éventuel appel d’offres</w:t>
      </w:r>
      <w:r w:rsidR="00425928" w:rsidRPr="00A028ED">
        <w:rPr>
          <w:rFonts w:ascii="Century Gothic" w:eastAsiaTheme="minorEastAsia" w:hAnsi="Century Gothic" w:cstheme="minorBidi"/>
          <w:sz w:val="22"/>
          <w:szCs w:val="22"/>
          <w:lang w:eastAsia="en-US"/>
        </w:rPr>
        <w:t> ;</w:t>
      </w:r>
    </w:p>
    <w:p w14:paraId="605B6270" w14:textId="4C9C58BF" w:rsidR="00425928" w:rsidRDefault="00425928" w:rsidP="00425928">
      <w:pPr>
        <w:pStyle w:val="Paragraphedeliste"/>
        <w:numPr>
          <w:ilvl w:val="0"/>
          <w:numId w:val="1"/>
        </w:numPr>
        <w:rPr>
          <w:rFonts w:ascii="Century Gothic" w:eastAsiaTheme="minorEastAsia" w:hAnsi="Century Gothic" w:cstheme="minorBidi"/>
          <w:sz w:val="22"/>
          <w:szCs w:val="22"/>
          <w:lang w:eastAsia="en-US"/>
        </w:rPr>
      </w:pPr>
      <w:r w:rsidRPr="00A028ED">
        <w:rPr>
          <w:rFonts w:ascii="Century Gothic" w:eastAsiaTheme="minorEastAsia" w:hAnsi="Century Gothic" w:cstheme="minorBidi"/>
          <w:sz w:val="22"/>
          <w:szCs w:val="22"/>
          <w:lang w:eastAsia="en-US"/>
        </w:rPr>
        <w:t>Maximiser la participation d’entreprises qualifiées tout en respectant les principes de transparence, d’équité et de concurrence.</w:t>
      </w:r>
    </w:p>
    <w:p w14:paraId="511DB662" w14:textId="77777777" w:rsidR="004A0C0F" w:rsidRPr="00A028ED" w:rsidRDefault="004A0C0F" w:rsidP="001C2DB1">
      <w:pPr>
        <w:pStyle w:val="Paragraphedeliste"/>
        <w:ind w:firstLine="0"/>
        <w:rPr>
          <w:rFonts w:ascii="Century Gothic" w:eastAsiaTheme="minorEastAsia" w:hAnsi="Century Gothic" w:cstheme="minorBidi"/>
          <w:sz w:val="22"/>
          <w:szCs w:val="22"/>
          <w:lang w:eastAsia="en-US"/>
        </w:rPr>
      </w:pPr>
    </w:p>
    <w:p w14:paraId="6F342E52" w14:textId="77777777" w:rsidR="001968A4" w:rsidRPr="00A028ED" w:rsidRDefault="00A715C2">
      <w:pPr>
        <w:rPr>
          <w:rFonts w:ascii="Century Gothic" w:hAnsi="Century Gothic" w:cs="Times New Roman"/>
          <w:b/>
          <w:sz w:val="24"/>
          <w:szCs w:val="24"/>
        </w:rPr>
      </w:pPr>
      <w:r w:rsidRPr="00A028ED">
        <w:rPr>
          <w:rFonts w:ascii="Century Gothic" w:hAnsi="Century Gothic" w:cs="Times New Roman"/>
          <w:b/>
          <w:sz w:val="24"/>
          <w:szCs w:val="24"/>
        </w:rPr>
        <w:t>3. PRESENTATION DU PROJET</w:t>
      </w:r>
    </w:p>
    <w:p w14:paraId="0D4D037F" w14:textId="1BBB89FB" w:rsidR="00874268" w:rsidRPr="00A028ED" w:rsidRDefault="00874268" w:rsidP="00874268">
      <w:pPr>
        <w:spacing w:before="120" w:after="120" w:line="276" w:lineRule="auto"/>
        <w:jc w:val="both"/>
        <w:rPr>
          <w:rFonts w:ascii="Century Gothic" w:hAnsi="Century Gothic"/>
          <w:b/>
        </w:rPr>
      </w:pPr>
      <w:r w:rsidRPr="00A028ED">
        <w:rPr>
          <w:rFonts w:ascii="Century Gothic" w:hAnsi="Century Gothic"/>
        </w:rPr>
        <w:t xml:space="preserve">Selon l’étude </w:t>
      </w:r>
      <w:r w:rsidR="00760E60">
        <w:rPr>
          <w:rFonts w:ascii="Century Gothic" w:hAnsi="Century Gothic"/>
        </w:rPr>
        <w:t xml:space="preserve">du </w:t>
      </w:r>
      <w:r w:rsidRPr="00A028ED">
        <w:rPr>
          <w:rFonts w:ascii="Century Gothic" w:hAnsi="Century Gothic"/>
        </w:rPr>
        <w:t xml:space="preserve">SDAEPGC, les besoins de production d’eau potable pour la ville de Conakry à fin 2024 sont estimés à </w:t>
      </w:r>
      <w:r w:rsidRPr="00A028ED">
        <w:rPr>
          <w:rFonts w:ascii="Century Gothic" w:hAnsi="Century Gothic"/>
          <w:b/>
        </w:rPr>
        <w:t>400 000 m3/jour</w:t>
      </w:r>
      <w:r w:rsidRPr="00A028ED">
        <w:rPr>
          <w:rFonts w:ascii="Century Gothic" w:hAnsi="Century Gothic"/>
        </w:rPr>
        <w:t xml:space="preserve">. La capacité de production existante étant de </w:t>
      </w:r>
      <w:r w:rsidRPr="00A028ED">
        <w:rPr>
          <w:rFonts w:ascii="Century Gothic" w:hAnsi="Century Gothic"/>
          <w:b/>
        </w:rPr>
        <w:t>150 000 m</w:t>
      </w:r>
      <w:r w:rsidRPr="00A028ED">
        <w:rPr>
          <w:rFonts w:ascii="Century Gothic" w:hAnsi="Century Gothic"/>
          <w:b/>
          <w:vertAlign w:val="superscript"/>
        </w:rPr>
        <w:t>3</w:t>
      </w:r>
      <w:r w:rsidRPr="00A028ED">
        <w:rPr>
          <w:rFonts w:ascii="Century Gothic" w:hAnsi="Century Gothic"/>
          <w:b/>
        </w:rPr>
        <w:t>/jour</w:t>
      </w:r>
      <w:r w:rsidRPr="00A028ED">
        <w:rPr>
          <w:rFonts w:ascii="Century Gothic" w:hAnsi="Century Gothic"/>
        </w:rPr>
        <w:t xml:space="preserve">, il se dégage un déficit de </w:t>
      </w:r>
      <w:r w:rsidRPr="00A028ED">
        <w:rPr>
          <w:rFonts w:ascii="Century Gothic" w:hAnsi="Century Gothic"/>
          <w:b/>
        </w:rPr>
        <w:t>250 000 m</w:t>
      </w:r>
      <w:r w:rsidRPr="00A028ED">
        <w:rPr>
          <w:rFonts w:ascii="Century Gothic" w:hAnsi="Century Gothic"/>
          <w:b/>
          <w:vertAlign w:val="superscript"/>
        </w:rPr>
        <w:t>3</w:t>
      </w:r>
      <w:r w:rsidRPr="00A028ED">
        <w:rPr>
          <w:rFonts w:ascii="Century Gothic" w:hAnsi="Century Gothic"/>
          <w:b/>
        </w:rPr>
        <w:t xml:space="preserve">/jour. </w:t>
      </w:r>
      <w:r w:rsidRPr="00A028ED">
        <w:rPr>
          <w:rFonts w:ascii="Century Gothic" w:hAnsi="Century Gothic"/>
          <w:bCs/>
        </w:rPr>
        <w:t xml:space="preserve">Ce déficit sera de </w:t>
      </w:r>
      <w:r w:rsidRPr="00A028ED">
        <w:rPr>
          <w:rFonts w:ascii="Century Gothic" w:hAnsi="Century Gothic"/>
          <w:b/>
        </w:rPr>
        <w:t>660 000 m</w:t>
      </w:r>
      <w:r w:rsidRPr="00A028ED">
        <w:rPr>
          <w:rFonts w:ascii="Century Gothic" w:hAnsi="Century Gothic"/>
          <w:b/>
          <w:vertAlign w:val="superscript"/>
        </w:rPr>
        <w:t>3</w:t>
      </w:r>
      <w:r w:rsidRPr="00A028ED">
        <w:rPr>
          <w:rFonts w:ascii="Century Gothic" w:hAnsi="Century Gothic"/>
          <w:b/>
        </w:rPr>
        <w:t>/jour</w:t>
      </w:r>
      <w:r w:rsidRPr="00A028ED">
        <w:rPr>
          <w:rFonts w:ascii="Century Gothic" w:hAnsi="Century Gothic"/>
          <w:bCs/>
        </w:rPr>
        <w:t xml:space="preserve"> à l’horizon 2040 si rien n’est fait.</w:t>
      </w:r>
      <w:r w:rsidRPr="00A028ED">
        <w:rPr>
          <w:rFonts w:ascii="Century Gothic" w:hAnsi="Century Gothic"/>
          <w:b/>
        </w:rPr>
        <w:t xml:space="preserve">   </w:t>
      </w:r>
    </w:p>
    <w:p w14:paraId="172D436A" w14:textId="06CF37B1" w:rsidR="004A0C0F" w:rsidRPr="00A028ED" w:rsidRDefault="00874268" w:rsidP="00874268">
      <w:pPr>
        <w:spacing w:before="120" w:after="120" w:line="276" w:lineRule="auto"/>
        <w:jc w:val="both"/>
        <w:rPr>
          <w:rFonts w:ascii="Century Gothic" w:hAnsi="Century Gothic"/>
        </w:rPr>
      </w:pPr>
      <w:r w:rsidRPr="00A028ED">
        <w:rPr>
          <w:rFonts w:ascii="Century Gothic" w:hAnsi="Century Gothic"/>
        </w:rPr>
        <w:t xml:space="preserve">Pour sortir de cette situation de pénurie récurrente d’eau potable à Conakry, il est envisagé trois tranches de travaux. </w:t>
      </w:r>
      <w:bookmarkStart w:id="0" w:name="_Hlk197246313"/>
      <w:r w:rsidRPr="00A028ED">
        <w:rPr>
          <w:rFonts w:ascii="Century Gothic" w:hAnsi="Century Gothic"/>
        </w:rPr>
        <w:t xml:space="preserve">Le présent projet dénommé </w:t>
      </w:r>
      <w:r w:rsidRPr="00A028ED">
        <w:rPr>
          <w:rFonts w:ascii="Century Gothic" w:hAnsi="Century Gothic"/>
          <w:b/>
          <w:bCs/>
        </w:rPr>
        <w:t>Projet Eau et Assainissement de Guinée</w:t>
      </w:r>
      <w:r w:rsidRPr="00A028ED">
        <w:rPr>
          <w:rFonts w:ascii="Century Gothic" w:hAnsi="Century Gothic"/>
        </w:rPr>
        <w:t xml:space="preserve"> (PEAG) vise la réalisation des travaux de la </w:t>
      </w:r>
      <w:r w:rsidR="00760E60">
        <w:rPr>
          <w:rFonts w:ascii="Century Gothic" w:hAnsi="Century Gothic"/>
        </w:rPr>
        <w:t>1</w:t>
      </w:r>
      <w:r w:rsidR="00760E60" w:rsidRPr="00760E60">
        <w:rPr>
          <w:rFonts w:ascii="Century Gothic" w:hAnsi="Century Gothic"/>
          <w:vertAlign w:val="superscript"/>
        </w:rPr>
        <w:t>ère</w:t>
      </w:r>
      <w:r w:rsidR="00760E60">
        <w:rPr>
          <w:rFonts w:ascii="Century Gothic" w:hAnsi="Century Gothic"/>
        </w:rPr>
        <w:t xml:space="preserve"> tranche</w:t>
      </w:r>
      <w:r w:rsidRPr="00A028ED">
        <w:rPr>
          <w:rFonts w:ascii="Century Gothic" w:hAnsi="Century Gothic"/>
        </w:rPr>
        <w:t xml:space="preserve">.  </w:t>
      </w:r>
    </w:p>
    <w:bookmarkEnd w:id="0"/>
    <w:p w14:paraId="356A9579" w14:textId="3D086046" w:rsidR="00874268" w:rsidRPr="00A028ED" w:rsidRDefault="00EC1643" w:rsidP="00874268">
      <w:pPr>
        <w:pStyle w:val="Paragraphedeliste"/>
        <w:ind w:left="993" w:hanging="426"/>
        <w:rPr>
          <w:rFonts w:ascii="Century Gothic" w:hAnsi="Century Gothic"/>
          <w:b/>
          <w:bCs/>
          <w:szCs w:val="24"/>
        </w:rPr>
      </w:pPr>
      <w:r w:rsidRPr="00A028ED">
        <w:rPr>
          <w:rFonts w:ascii="Century Gothic" w:hAnsi="Century Gothic"/>
          <w:b/>
          <w:bCs/>
          <w:szCs w:val="24"/>
        </w:rPr>
        <w:t>3</w:t>
      </w:r>
      <w:r w:rsidR="00874268" w:rsidRPr="00A028ED">
        <w:rPr>
          <w:rFonts w:ascii="Century Gothic" w:hAnsi="Century Gothic"/>
          <w:b/>
          <w:bCs/>
          <w:szCs w:val="24"/>
        </w:rPr>
        <w:t>.</w:t>
      </w:r>
      <w:r w:rsidRPr="00A028ED">
        <w:rPr>
          <w:rFonts w:ascii="Century Gothic" w:hAnsi="Century Gothic"/>
          <w:b/>
          <w:bCs/>
          <w:szCs w:val="24"/>
        </w:rPr>
        <w:t>1.</w:t>
      </w:r>
      <w:r w:rsidR="00874268" w:rsidRPr="00A028ED">
        <w:rPr>
          <w:rFonts w:ascii="Century Gothic" w:hAnsi="Century Gothic"/>
          <w:b/>
          <w:bCs/>
          <w:szCs w:val="24"/>
        </w:rPr>
        <w:t xml:space="preserve"> OBJECTIF DE DEVELOPPEMENT DU PROJET</w:t>
      </w:r>
    </w:p>
    <w:p w14:paraId="54F5100F" w14:textId="77777777" w:rsidR="00874268" w:rsidRPr="00A028ED" w:rsidRDefault="00874268" w:rsidP="00874268">
      <w:pPr>
        <w:jc w:val="both"/>
        <w:rPr>
          <w:rFonts w:ascii="Century Gothic" w:hAnsi="Century Gothic"/>
        </w:rPr>
      </w:pPr>
      <w:r w:rsidRPr="00A028ED">
        <w:rPr>
          <w:rFonts w:ascii="Century Gothic" w:hAnsi="Century Gothic"/>
        </w:rPr>
        <w:t>L’objectif de développement du projet est d’accroître l’accès aux services d’eau gérés en toute sécurité dans le Grand Conakry et de renforcer la performance opérationnelle et organisationnelle des institutions de l’eau et de l’assainissement en Guinée.</w:t>
      </w:r>
    </w:p>
    <w:p w14:paraId="3DFC73A2" w14:textId="77777777" w:rsidR="00874268" w:rsidRPr="00A028ED" w:rsidRDefault="00874268" w:rsidP="00874268">
      <w:pPr>
        <w:jc w:val="both"/>
        <w:rPr>
          <w:rFonts w:ascii="Century Gothic" w:hAnsi="Century Gothic"/>
        </w:rPr>
      </w:pPr>
      <w:r w:rsidRPr="00A028ED">
        <w:rPr>
          <w:rFonts w:ascii="Century Gothic" w:hAnsi="Century Gothic"/>
        </w:rPr>
        <w:t>De façon spécifique, le projet permettra :</w:t>
      </w:r>
    </w:p>
    <w:p w14:paraId="18ECE91E" w14:textId="39B5D2E7" w:rsidR="00874268" w:rsidRPr="00760E60" w:rsidRDefault="00874268" w:rsidP="00874268">
      <w:pPr>
        <w:pStyle w:val="Paragraphedeliste"/>
        <w:numPr>
          <w:ilvl w:val="0"/>
          <w:numId w:val="9"/>
        </w:numPr>
        <w:tabs>
          <w:tab w:val="left" w:pos="0"/>
        </w:tabs>
        <w:spacing w:before="120" w:line="276" w:lineRule="auto"/>
        <w:ind w:left="284" w:hanging="284"/>
        <w:rPr>
          <w:rFonts w:ascii="Century Gothic" w:eastAsiaTheme="minorEastAsia" w:hAnsi="Century Gothic" w:cstheme="minorBidi"/>
          <w:sz w:val="22"/>
          <w:szCs w:val="22"/>
          <w:lang w:eastAsia="en-US"/>
        </w:rPr>
      </w:pPr>
      <w:r w:rsidRPr="00760E60">
        <w:rPr>
          <w:rFonts w:ascii="Century Gothic" w:eastAsiaTheme="minorEastAsia" w:hAnsi="Century Gothic" w:cstheme="minorBidi"/>
          <w:sz w:val="22"/>
          <w:szCs w:val="22"/>
          <w:lang w:eastAsia="en-US"/>
        </w:rPr>
        <w:t xml:space="preserve">Améliorer les conditions de vie des populations du Grand à travers la fourniture de services fiables et durables d’approvisionnement en eau </w:t>
      </w:r>
      <w:r w:rsidR="006C1E6F" w:rsidRPr="00760E60">
        <w:rPr>
          <w:rFonts w:ascii="Century Gothic" w:eastAsiaTheme="minorEastAsia" w:hAnsi="Century Gothic" w:cstheme="minorBidi"/>
          <w:sz w:val="22"/>
          <w:szCs w:val="22"/>
          <w:lang w:eastAsia="en-US"/>
        </w:rPr>
        <w:t>potable ;</w:t>
      </w:r>
      <w:r w:rsidRPr="00760E60">
        <w:rPr>
          <w:rFonts w:ascii="Century Gothic" w:eastAsiaTheme="minorEastAsia" w:hAnsi="Century Gothic" w:cstheme="minorBidi"/>
          <w:sz w:val="22"/>
          <w:szCs w:val="22"/>
          <w:lang w:eastAsia="en-US"/>
        </w:rPr>
        <w:t xml:space="preserve"> </w:t>
      </w:r>
    </w:p>
    <w:p w14:paraId="53B7E084" w14:textId="3E09A1BD" w:rsidR="00874268" w:rsidRPr="00760E60" w:rsidRDefault="00874268" w:rsidP="00874268">
      <w:pPr>
        <w:pStyle w:val="Paragraphedeliste"/>
        <w:numPr>
          <w:ilvl w:val="0"/>
          <w:numId w:val="9"/>
        </w:numPr>
        <w:tabs>
          <w:tab w:val="left" w:pos="0"/>
        </w:tabs>
        <w:spacing w:before="120" w:line="276" w:lineRule="auto"/>
        <w:ind w:left="284" w:hanging="284"/>
        <w:rPr>
          <w:rFonts w:ascii="Century Gothic" w:eastAsiaTheme="minorEastAsia" w:hAnsi="Century Gothic" w:cstheme="minorBidi"/>
          <w:sz w:val="22"/>
          <w:szCs w:val="22"/>
          <w:lang w:eastAsia="en-US"/>
        </w:rPr>
      </w:pPr>
      <w:r w:rsidRPr="00760E60">
        <w:rPr>
          <w:rFonts w:ascii="Century Gothic" w:eastAsiaTheme="minorEastAsia" w:hAnsi="Century Gothic" w:cstheme="minorBidi"/>
          <w:sz w:val="22"/>
          <w:szCs w:val="22"/>
          <w:lang w:eastAsia="en-US"/>
        </w:rPr>
        <w:t xml:space="preserve">Contribuer à l’amélioration des conditions sanitaires et d’hygiène notamment dans les établissements scolaires du Grand </w:t>
      </w:r>
      <w:r w:rsidR="006C1E6F" w:rsidRPr="00760E60">
        <w:rPr>
          <w:rFonts w:ascii="Century Gothic" w:eastAsiaTheme="minorEastAsia" w:hAnsi="Century Gothic" w:cstheme="minorBidi"/>
          <w:sz w:val="22"/>
          <w:szCs w:val="22"/>
          <w:lang w:eastAsia="en-US"/>
        </w:rPr>
        <w:t>Conakry</w:t>
      </w:r>
      <w:r w:rsidRPr="00760E60">
        <w:rPr>
          <w:rFonts w:ascii="Century Gothic" w:eastAsiaTheme="minorEastAsia" w:hAnsi="Century Gothic" w:cstheme="minorBidi"/>
          <w:sz w:val="22"/>
          <w:szCs w:val="22"/>
          <w:lang w:eastAsia="en-US"/>
        </w:rPr>
        <w:t xml:space="preserve"> et à la réduction des maladies d’origine hydrique ; </w:t>
      </w:r>
    </w:p>
    <w:p w14:paraId="502CFFC5" w14:textId="77777777" w:rsidR="00874268" w:rsidRPr="00760E60" w:rsidRDefault="00874268" w:rsidP="00874268">
      <w:pPr>
        <w:pStyle w:val="Paragraphedeliste"/>
        <w:numPr>
          <w:ilvl w:val="0"/>
          <w:numId w:val="9"/>
        </w:numPr>
        <w:tabs>
          <w:tab w:val="left" w:pos="0"/>
        </w:tabs>
        <w:spacing w:before="120" w:line="276" w:lineRule="auto"/>
        <w:ind w:left="284" w:hanging="284"/>
        <w:rPr>
          <w:rFonts w:ascii="Century Gothic" w:eastAsiaTheme="minorEastAsia" w:hAnsi="Century Gothic" w:cstheme="minorBidi"/>
          <w:sz w:val="22"/>
          <w:szCs w:val="22"/>
          <w:lang w:eastAsia="en-US"/>
        </w:rPr>
      </w:pPr>
      <w:r w:rsidRPr="00760E60">
        <w:rPr>
          <w:rFonts w:ascii="Century Gothic" w:eastAsiaTheme="minorEastAsia" w:hAnsi="Century Gothic" w:cstheme="minorBidi"/>
          <w:sz w:val="22"/>
          <w:szCs w:val="22"/>
          <w:lang w:eastAsia="en-US"/>
        </w:rPr>
        <w:t xml:space="preserve">Réduire la pénibilité liée aux corvées d’eau pour les femmes ; </w:t>
      </w:r>
    </w:p>
    <w:p w14:paraId="695CFDE8" w14:textId="00F18C5D" w:rsidR="00874268" w:rsidRPr="00760E60" w:rsidRDefault="00874268" w:rsidP="00874268">
      <w:pPr>
        <w:pStyle w:val="Paragraphedeliste"/>
        <w:numPr>
          <w:ilvl w:val="0"/>
          <w:numId w:val="9"/>
        </w:numPr>
        <w:tabs>
          <w:tab w:val="left" w:pos="0"/>
        </w:tabs>
        <w:spacing w:before="120" w:line="276" w:lineRule="auto"/>
        <w:ind w:left="284" w:hanging="284"/>
        <w:rPr>
          <w:rFonts w:ascii="Century Gothic" w:eastAsiaTheme="minorEastAsia" w:hAnsi="Century Gothic" w:cstheme="minorBidi"/>
          <w:sz w:val="22"/>
          <w:szCs w:val="22"/>
          <w:lang w:eastAsia="en-US"/>
        </w:rPr>
      </w:pPr>
      <w:r w:rsidRPr="00760E60">
        <w:rPr>
          <w:rFonts w:ascii="Century Gothic" w:eastAsiaTheme="minorEastAsia" w:hAnsi="Century Gothic" w:cstheme="minorBidi"/>
          <w:sz w:val="22"/>
          <w:szCs w:val="22"/>
          <w:lang w:eastAsia="en-US"/>
        </w:rPr>
        <w:t>Contribuer à la réduction de la pauvreté ;</w:t>
      </w:r>
    </w:p>
    <w:p w14:paraId="2BC445BD" w14:textId="42F43D75" w:rsidR="00176786" w:rsidRDefault="00874268" w:rsidP="00874268">
      <w:pPr>
        <w:pStyle w:val="Paragraphedeliste"/>
        <w:numPr>
          <w:ilvl w:val="0"/>
          <w:numId w:val="9"/>
        </w:numPr>
        <w:tabs>
          <w:tab w:val="left" w:pos="426"/>
          <w:tab w:val="left" w:pos="567"/>
        </w:tabs>
        <w:autoSpaceDE w:val="0"/>
        <w:autoSpaceDN w:val="0"/>
        <w:adjustRightInd w:val="0"/>
        <w:spacing w:before="120" w:line="276" w:lineRule="auto"/>
        <w:ind w:left="284" w:hanging="284"/>
        <w:rPr>
          <w:rFonts w:ascii="Century Gothic" w:eastAsiaTheme="minorEastAsia" w:hAnsi="Century Gothic" w:cstheme="minorBidi"/>
          <w:sz w:val="22"/>
          <w:szCs w:val="22"/>
          <w:lang w:eastAsia="en-US"/>
        </w:rPr>
      </w:pPr>
      <w:r w:rsidRPr="00760E60">
        <w:rPr>
          <w:rFonts w:ascii="Century Gothic" w:eastAsiaTheme="minorEastAsia" w:hAnsi="Century Gothic" w:cstheme="minorBidi"/>
          <w:sz w:val="22"/>
          <w:szCs w:val="22"/>
          <w:lang w:eastAsia="en-US"/>
        </w:rPr>
        <w:t>Créer des emplois ;</w:t>
      </w:r>
    </w:p>
    <w:p w14:paraId="2EE678C3" w14:textId="77777777" w:rsidR="001C2DB1" w:rsidRPr="00760E60" w:rsidRDefault="001C2DB1" w:rsidP="001C2DB1">
      <w:pPr>
        <w:pStyle w:val="Paragraphedeliste"/>
        <w:tabs>
          <w:tab w:val="left" w:pos="426"/>
          <w:tab w:val="left" w:pos="567"/>
        </w:tabs>
        <w:autoSpaceDE w:val="0"/>
        <w:autoSpaceDN w:val="0"/>
        <w:adjustRightInd w:val="0"/>
        <w:spacing w:before="120" w:line="276" w:lineRule="auto"/>
        <w:ind w:left="284" w:firstLine="0"/>
        <w:rPr>
          <w:rFonts w:ascii="Century Gothic" w:eastAsiaTheme="minorEastAsia" w:hAnsi="Century Gothic" w:cstheme="minorBidi"/>
          <w:sz w:val="22"/>
          <w:szCs w:val="22"/>
          <w:lang w:eastAsia="en-US"/>
        </w:rPr>
      </w:pPr>
    </w:p>
    <w:p w14:paraId="258FF0FD" w14:textId="044A8EFF" w:rsidR="00EC1643" w:rsidRPr="00A028ED" w:rsidRDefault="00EC1643" w:rsidP="005D4949">
      <w:pPr>
        <w:pStyle w:val="Paragraphedeliste"/>
        <w:ind w:left="993" w:hanging="426"/>
        <w:rPr>
          <w:rFonts w:ascii="Century Gothic" w:hAnsi="Century Gothic"/>
          <w:b/>
          <w:bCs/>
          <w:szCs w:val="24"/>
        </w:rPr>
      </w:pPr>
      <w:r w:rsidRPr="00A028ED">
        <w:rPr>
          <w:rFonts w:ascii="Century Gothic" w:hAnsi="Century Gothic"/>
          <w:b/>
          <w:bCs/>
          <w:szCs w:val="24"/>
        </w:rPr>
        <w:t>3.2. TRAVAUX PREVUS DANS LE PROJET </w:t>
      </w:r>
    </w:p>
    <w:p w14:paraId="1D69ECD5" w14:textId="14AA7553" w:rsidR="00EC1643" w:rsidRPr="00A028ED" w:rsidRDefault="00EC1643" w:rsidP="00EC1643">
      <w:pPr>
        <w:jc w:val="both"/>
        <w:rPr>
          <w:rFonts w:ascii="Century Gothic" w:hAnsi="Century Gothic"/>
          <w:bCs/>
          <w:iCs/>
        </w:rPr>
      </w:pPr>
      <w:r w:rsidRPr="00A028ED">
        <w:rPr>
          <w:rFonts w:ascii="Century Gothic" w:hAnsi="Century Gothic"/>
          <w:bCs/>
          <w:iCs/>
        </w:rPr>
        <w:t xml:space="preserve">Les composantes du projet sont réparties en plusieurs lots </w:t>
      </w:r>
      <w:r w:rsidR="00BC2A15" w:rsidRPr="00A028ED">
        <w:rPr>
          <w:rFonts w:ascii="Century Gothic" w:hAnsi="Century Gothic"/>
          <w:bCs/>
          <w:iCs/>
        </w:rPr>
        <w:t>qui sont :</w:t>
      </w:r>
    </w:p>
    <w:p w14:paraId="03AF5FA7" w14:textId="77777777" w:rsidR="00EC1643" w:rsidRPr="00A028ED" w:rsidRDefault="00EC1643" w:rsidP="00EC1643">
      <w:pPr>
        <w:numPr>
          <w:ilvl w:val="0"/>
          <w:numId w:val="11"/>
        </w:numPr>
        <w:jc w:val="both"/>
        <w:rPr>
          <w:rFonts w:ascii="Century Gothic" w:hAnsi="Century Gothic" w:cs="Times New Roman"/>
          <w:bCs/>
          <w:iCs/>
        </w:rPr>
      </w:pPr>
      <w:r w:rsidRPr="00A028ED">
        <w:rPr>
          <w:rFonts w:ascii="Century Gothic" w:hAnsi="Century Gothic" w:cs="Times New Roman"/>
          <w:b/>
          <w:iCs/>
        </w:rPr>
        <w:t>Lot 0 :</w:t>
      </w:r>
      <w:r w:rsidRPr="00A028ED">
        <w:rPr>
          <w:rFonts w:ascii="Century Gothic" w:hAnsi="Century Gothic" w:cs="Times New Roman"/>
          <w:bCs/>
          <w:iCs/>
        </w:rPr>
        <w:t xml:space="preserve"> Prise d’eau au barrage des Grandes Chutes de 2,8 m3/s et les conduites d’eau brute barrage des Grandes Chutes -Yessoulou sur 44 Km en DN 1600 mm ;</w:t>
      </w:r>
    </w:p>
    <w:p w14:paraId="79F54CF3" w14:textId="77777777" w:rsidR="00EC1643" w:rsidRPr="00A028ED" w:rsidRDefault="00EC1643" w:rsidP="00EC1643">
      <w:pPr>
        <w:numPr>
          <w:ilvl w:val="0"/>
          <w:numId w:val="11"/>
        </w:numPr>
        <w:jc w:val="both"/>
        <w:rPr>
          <w:rFonts w:ascii="Century Gothic" w:hAnsi="Century Gothic" w:cs="Times New Roman"/>
          <w:bCs/>
          <w:iCs/>
        </w:rPr>
      </w:pPr>
      <w:r w:rsidRPr="00A028ED">
        <w:rPr>
          <w:rFonts w:ascii="Century Gothic" w:hAnsi="Century Gothic" w:cs="Times New Roman"/>
          <w:b/>
          <w:iCs/>
        </w:rPr>
        <w:t>Lot 1</w:t>
      </w:r>
      <w:r w:rsidRPr="00A028ED">
        <w:rPr>
          <w:rFonts w:ascii="Century Gothic" w:hAnsi="Century Gothic" w:cs="Times New Roman"/>
          <w:bCs/>
          <w:iCs/>
        </w:rPr>
        <w:t xml:space="preserve"> : Usine de traitement de Yessoulou 4 de </w:t>
      </w:r>
      <w:r w:rsidRPr="00A028ED">
        <w:rPr>
          <w:rFonts w:ascii="Century Gothic" w:hAnsi="Century Gothic" w:cs="Times New Roman"/>
          <w:b/>
          <w:iCs/>
        </w:rPr>
        <w:t>200 000 m</w:t>
      </w:r>
      <w:r w:rsidRPr="00A028ED">
        <w:rPr>
          <w:rFonts w:ascii="Century Gothic" w:hAnsi="Century Gothic" w:cs="Times New Roman"/>
          <w:b/>
          <w:iCs/>
          <w:vertAlign w:val="superscript"/>
        </w:rPr>
        <w:t>3</w:t>
      </w:r>
      <w:r w:rsidRPr="00A028ED">
        <w:rPr>
          <w:rFonts w:ascii="Century Gothic" w:hAnsi="Century Gothic" w:cs="Times New Roman"/>
          <w:b/>
          <w:iCs/>
        </w:rPr>
        <w:t>/jour</w:t>
      </w:r>
      <w:r w:rsidRPr="00A028ED">
        <w:rPr>
          <w:rFonts w:ascii="Century Gothic" w:hAnsi="Century Gothic" w:cs="Times New Roman"/>
          <w:bCs/>
          <w:iCs/>
        </w:rPr>
        <w:t> ;</w:t>
      </w:r>
    </w:p>
    <w:p w14:paraId="52960AD3" w14:textId="60D213DF" w:rsidR="00EC1643" w:rsidRPr="00A028ED" w:rsidRDefault="00EC1643" w:rsidP="00EC1643">
      <w:pPr>
        <w:numPr>
          <w:ilvl w:val="0"/>
          <w:numId w:val="11"/>
        </w:numPr>
        <w:jc w:val="both"/>
        <w:rPr>
          <w:rFonts w:ascii="Century Gothic" w:hAnsi="Century Gothic" w:cs="Times New Roman"/>
          <w:bCs/>
          <w:iCs/>
        </w:rPr>
      </w:pPr>
      <w:r w:rsidRPr="00A028ED">
        <w:rPr>
          <w:rFonts w:ascii="Century Gothic" w:hAnsi="Century Gothic" w:cs="Times New Roman"/>
          <w:b/>
          <w:iCs/>
        </w:rPr>
        <w:t>Lot 2 et 3</w:t>
      </w:r>
      <w:r w:rsidRPr="00A028ED">
        <w:rPr>
          <w:rFonts w:ascii="Century Gothic" w:hAnsi="Century Gothic" w:cs="Times New Roman"/>
          <w:bCs/>
          <w:iCs/>
        </w:rPr>
        <w:t xml:space="preserve"> : Adduction d’eau traitée (</w:t>
      </w:r>
      <w:r w:rsidRPr="00A028ED">
        <w:rPr>
          <w:rFonts w:ascii="Century Gothic" w:hAnsi="Century Gothic" w:cs="Times New Roman"/>
          <w:b/>
          <w:iCs/>
        </w:rPr>
        <w:t>51km DN300-DN1600mm</w:t>
      </w:r>
      <w:r w:rsidRPr="00A028ED">
        <w:rPr>
          <w:rFonts w:ascii="Century Gothic" w:hAnsi="Century Gothic" w:cs="Times New Roman"/>
          <w:bCs/>
          <w:iCs/>
        </w:rPr>
        <w:t>) ;</w:t>
      </w:r>
    </w:p>
    <w:p w14:paraId="612A26EE" w14:textId="18817A30" w:rsidR="00EC1643" w:rsidRPr="00A028ED" w:rsidRDefault="00EC1643" w:rsidP="00EC1643">
      <w:pPr>
        <w:numPr>
          <w:ilvl w:val="0"/>
          <w:numId w:val="11"/>
        </w:numPr>
        <w:jc w:val="both"/>
        <w:rPr>
          <w:rFonts w:ascii="Century Gothic" w:hAnsi="Century Gothic" w:cs="Times New Roman"/>
          <w:bCs/>
          <w:iCs/>
        </w:rPr>
      </w:pPr>
      <w:r w:rsidRPr="00A028ED">
        <w:rPr>
          <w:rFonts w:ascii="Century Gothic" w:hAnsi="Century Gothic" w:cs="Times New Roman"/>
          <w:b/>
          <w:iCs/>
        </w:rPr>
        <w:t>Lot 4,5,6,7 et 8</w:t>
      </w:r>
      <w:r w:rsidRPr="00A028ED">
        <w:rPr>
          <w:rFonts w:ascii="Century Gothic" w:hAnsi="Century Gothic" w:cs="Times New Roman"/>
          <w:bCs/>
          <w:iCs/>
        </w:rPr>
        <w:t xml:space="preserve"> : Ouvrages de stockages (</w:t>
      </w:r>
      <w:r w:rsidRPr="00A028ED">
        <w:rPr>
          <w:rFonts w:ascii="Century Gothic" w:hAnsi="Century Gothic" w:cs="Times New Roman"/>
          <w:b/>
          <w:iCs/>
        </w:rPr>
        <w:t>63 600 m</w:t>
      </w:r>
      <w:r w:rsidRPr="00A028ED">
        <w:rPr>
          <w:rFonts w:ascii="Century Gothic" w:hAnsi="Century Gothic" w:cs="Times New Roman"/>
          <w:b/>
          <w:iCs/>
          <w:vertAlign w:val="superscript"/>
        </w:rPr>
        <w:t>3</w:t>
      </w:r>
      <w:r w:rsidRPr="00A028ED">
        <w:rPr>
          <w:rFonts w:ascii="Century Gothic" w:hAnsi="Century Gothic" w:cs="Times New Roman"/>
          <w:bCs/>
          <w:iCs/>
        </w:rPr>
        <w:t>) et réseaux de distribution (</w:t>
      </w:r>
      <w:r w:rsidR="00D13999" w:rsidRPr="00A028ED">
        <w:rPr>
          <w:rFonts w:ascii="Century Gothic" w:hAnsi="Century Gothic" w:cs="Times New Roman"/>
          <w:b/>
          <w:iCs/>
        </w:rPr>
        <w:t>400</w:t>
      </w:r>
      <w:r w:rsidRPr="00A028ED">
        <w:rPr>
          <w:rFonts w:ascii="Century Gothic" w:hAnsi="Century Gothic" w:cs="Times New Roman"/>
          <w:b/>
          <w:iCs/>
        </w:rPr>
        <w:t xml:space="preserve"> km</w:t>
      </w:r>
      <w:r w:rsidRPr="00A028ED">
        <w:rPr>
          <w:rFonts w:ascii="Century Gothic" w:hAnsi="Century Gothic" w:cs="Times New Roman"/>
          <w:bCs/>
          <w:iCs/>
        </w:rPr>
        <w:t>) ;</w:t>
      </w:r>
    </w:p>
    <w:p w14:paraId="3609532C" w14:textId="0F49A132" w:rsidR="001968A4" w:rsidRDefault="00F54BB9" w:rsidP="00296829">
      <w:pPr>
        <w:pStyle w:val="Paragraphedeliste"/>
        <w:spacing w:after="0" w:line="259" w:lineRule="auto"/>
        <w:ind w:left="0" w:firstLine="0"/>
        <w:rPr>
          <w:rFonts w:ascii="Century Gothic" w:eastAsiaTheme="minorEastAsia" w:hAnsi="Century Gothic" w:cstheme="minorBidi"/>
          <w:bCs/>
          <w:iCs/>
          <w:sz w:val="22"/>
          <w:szCs w:val="22"/>
          <w:lang w:eastAsia="en-US"/>
        </w:rPr>
      </w:pPr>
      <w:r w:rsidRPr="00A028ED">
        <w:rPr>
          <w:rFonts w:ascii="Century Gothic" w:eastAsiaTheme="minorEastAsia" w:hAnsi="Century Gothic" w:cstheme="minorBidi"/>
          <w:bCs/>
          <w:iCs/>
          <w:sz w:val="22"/>
          <w:szCs w:val="22"/>
          <w:lang w:eastAsia="en-US"/>
        </w:rPr>
        <w:lastRenderedPageBreak/>
        <w:t xml:space="preserve">La réalisation des travaux </w:t>
      </w:r>
      <w:r w:rsidR="00760E60">
        <w:rPr>
          <w:rFonts w:ascii="Century Gothic" w:eastAsiaTheme="minorEastAsia" w:hAnsi="Century Gothic" w:cstheme="minorBidi"/>
          <w:bCs/>
          <w:iCs/>
          <w:sz w:val="22"/>
          <w:szCs w:val="22"/>
          <w:lang w:eastAsia="en-US"/>
        </w:rPr>
        <w:t xml:space="preserve">des </w:t>
      </w:r>
      <w:r w:rsidR="006E3043" w:rsidRPr="00A028ED">
        <w:rPr>
          <w:rFonts w:ascii="Century Gothic" w:eastAsiaTheme="minorEastAsia" w:hAnsi="Century Gothic" w:cstheme="minorBidi"/>
          <w:bCs/>
          <w:iCs/>
          <w:sz w:val="22"/>
          <w:szCs w:val="22"/>
          <w:lang w:eastAsia="en-US"/>
        </w:rPr>
        <w:t xml:space="preserve">lots 1 à 8 </w:t>
      </w:r>
      <w:r w:rsidRPr="00A028ED">
        <w:rPr>
          <w:rFonts w:ascii="Century Gothic" w:eastAsiaTheme="minorEastAsia" w:hAnsi="Century Gothic" w:cstheme="minorBidi"/>
          <w:bCs/>
          <w:iCs/>
          <w:sz w:val="22"/>
          <w:szCs w:val="22"/>
          <w:lang w:eastAsia="en-US"/>
        </w:rPr>
        <w:t xml:space="preserve">est prévue via un Appel d’Offre International (AOI). </w:t>
      </w:r>
    </w:p>
    <w:p w14:paraId="6F3C3AEA" w14:textId="64A0948E" w:rsidR="00760E60" w:rsidRPr="00A028ED" w:rsidRDefault="00760E60" w:rsidP="00296829">
      <w:pPr>
        <w:pStyle w:val="Paragraphedeliste"/>
        <w:spacing w:after="0" w:line="259" w:lineRule="auto"/>
        <w:ind w:left="0" w:firstLine="0"/>
        <w:rPr>
          <w:rFonts w:ascii="Century Gothic" w:eastAsiaTheme="minorEastAsia" w:hAnsi="Century Gothic" w:cstheme="minorBidi"/>
          <w:bCs/>
          <w:iCs/>
          <w:sz w:val="22"/>
          <w:szCs w:val="22"/>
          <w:lang w:eastAsia="en-US"/>
        </w:rPr>
      </w:pPr>
      <w:r>
        <w:rPr>
          <w:rFonts w:ascii="Century Gothic" w:eastAsiaTheme="minorEastAsia" w:hAnsi="Century Gothic" w:cstheme="minorBidi"/>
          <w:bCs/>
          <w:iCs/>
          <w:sz w:val="22"/>
          <w:szCs w:val="22"/>
          <w:lang w:eastAsia="en-US"/>
        </w:rPr>
        <w:t xml:space="preserve">Le présent Avis concerne le lot </w:t>
      </w:r>
      <w:r w:rsidR="00531302">
        <w:rPr>
          <w:rFonts w:ascii="Century Gothic" w:eastAsiaTheme="minorEastAsia" w:hAnsi="Century Gothic" w:cstheme="minorBidi"/>
          <w:bCs/>
          <w:iCs/>
          <w:sz w:val="22"/>
          <w:szCs w:val="22"/>
          <w:lang w:eastAsia="en-US"/>
        </w:rPr>
        <w:t>5</w:t>
      </w:r>
      <w:r>
        <w:rPr>
          <w:rFonts w:ascii="Century Gothic" w:eastAsiaTheme="minorEastAsia" w:hAnsi="Century Gothic" w:cstheme="minorBidi"/>
          <w:bCs/>
          <w:iCs/>
          <w:sz w:val="22"/>
          <w:szCs w:val="22"/>
          <w:lang w:eastAsia="en-US"/>
        </w:rPr>
        <w:t xml:space="preserve"> </w:t>
      </w:r>
      <w:r w:rsidRPr="0075653B">
        <w:rPr>
          <w:rFonts w:ascii="Century Gothic" w:eastAsiaTheme="minorEastAsia" w:hAnsi="Century Gothic" w:cstheme="minorBidi"/>
          <w:b/>
          <w:iCs/>
          <w:sz w:val="22"/>
          <w:szCs w:val="22"/>
          <w:lang w:eastAsia="en-US"/>
        </w:rPr>
        <w:t>« </w:t>
      </w:r>
      <w:r w:rsidR="0075653B" w:rsidRPr="0075653B">
        <w:rPr>
          <w:rFonts w:ascii="Century Gothic" w:eastAsiaTheme="minorEastAsia" w:hAnsi="Century Gothic" w:cstheme="minorBidi"/>
          <w:b/>
          <w:iCs/>
          <w:sz w:val="22"/>
          <w:szCs w:val="22"/>
          <w:lang w:eastAsia="en-US"/>
        </w:rPr>
        <w:t>Construction des réservoirs de Kagbelen et de Kouria et fourniture et pose des réseaux de distribution d’eau potable dans les zones de service y associés et dans la zone Manéah</w:t>
      </w:r>
      <w:r w:rsidR="0075653B">
        <w:rPr>
          <w:rFonts w:ascii="Century Gothic" w:eastAsiaTheme="minorEastAsia" w:hAnsi="Century Gothic" w:cstheme="minorBidi"/>
          <w:b/>
          <w:iCs/>
          <w:sz w:val="22"/>
          <w:szCs w:val="22"/>
          <w:lang w:eastAsia="en-US"/>
        </w:rPr>
        <w:t xml:space="preserve"> </w:t>
      </w:r>
      <w:r>
        <w:rPr>
          <w:rFonts w:ascii="Century Gothic" w:hAnsi="Century Gothic"/>
          <w:b/>
          <w:iCs/>
        </w:rPr>
        <w:t>».</w:t>
      </w:r>
    </w:p>
    <w:p w14:paraId="0A4C494F" w14:textId="227A0235" w:rsidR="00296829" w:rsidRPr="00A028ED" w:rsidRDefault="00760E60" w:rsidP="00296829">
      <w:pPr>
        <w:spacing w:before="240" w:after="240"/>
        <w:rPr>
          <w:rFonts w:ascii="Century Gothic" w:hAnsi="Century Gothic" w:cs="Times New Roman"/>
          <w:b/>
          <w:iCs/>
        </w:rPr>
      </w:pPr>
      <w:r>
        <w:rPr>
          <w:rFonts w:ascii="Century Gothic" w:hAnsi="Century Gothic" w:cs="Times New Roman"/>
          <w:b/>
          <w:iCs/>
        </w:rPr>
        <w:t xml:space="preserve">          3.3 </w:t>
      </w:r>
      <w:r w:rsidR="00296829" w:rsidRPr="00A028ED">
        <w:rPr>
          <w:rFonts w:ascii="Century Gothic" w:hAnsi="Century Gothic" w:cs="Times New Roman"/>
          <w:b/>
          <w:iCs/>
        </w:rPr>
        <w:t>RESULTATS ATTENDUS</w:t>
      </w:r>
      <w:r>
        <w:rPr>
          <w:rFonts w:ascii="Century Gothic" w:hAnsi="Century Gothic" w:cs="Times New Roman"/>
          <w:b/>
          <w:iCs/>
        </w:rPr>
        <w:t xml:space="preserve"> DU PROJET</w:t>
      </w:r>
    </w:p>
    <w:p w14:paraId="1EC894EE" w14:textId="5975B01C" w:rsidR="001968A4" w:rsidRPr="00A028ED" w:rsidRDefault="00296829">
      <w:pPr>
        <w:rPr>
          <w:rFonts w:ascii="Century Gothic" w:hAnsi="Century Gothic" w:cs="Times New Roman"/>
          <w:bCs/>
          <w:iCs/>
        </w:rPr>
      </w:pPr>
      <w:r w:rsidRPr="00A028ED">
        <w:rPr>
          <w:rFonts w:ascii="Century Gothic" w:hAnsi="Century Gothic" w:cs="Times New Roman"/>
          <w:bCs/>
          <w:iCs/>
        </w:rPr>
        <w:t xml:space="preserve"> </w:t>
      </w:r>
      <w:r w:rsidR="00A715C2" w:rsidRPr="00A028ED">
        <w:rPr>
          <w:rFonts w:ascii="Century Gothic" w:hAnsi="Century Gothic" w:cs="Times New Roman"/>
          <w:bCs/>
          <w:iCs/>
        </w:rPr>
        <w:t>Les résultats attendus </w:t>
      </w:r>
      <w:r w:rsidRPr="00A028ED">
        <w:rPr>
          <w:rFonts w:ascii="Century Gothic" w:hAnsi="Century Gothic" w:cs="Times New Roman"/>
          <w:bCs/>
          <w:iCs/>
        </w:rPr>
        <w:t>sont les suivants :</w:t>
      </w:r>
    </w:p>
    <w:p w14:paraId="6B5C8680" w14:textId="5B184CD9" w:rsidR="00F215BD" w:rsidRPr="00A028ED" w:rsidRDefault="00F215BD" w:rsidP="00F215BD">
      <w:pPr>
        <w:pStyle w:val="Paragraphedeliste"/>
        <w:numPr>
          <w:ilvl w:val="0"/>
          <w:numId w:val="12"/>
        </w:numPr>
        <w:spacing w:before="120" w:after="120"/>
        <w:ind w:left="641" w:hanging="357"/>
        <w:contextualSpacing w:val="0"/>
        <w:rPr>
          <w:rFonts w:ascii="Century Gothic" w:eastAsiaTheme="minorEastAsia" w:hAnsi="Century Gothic"/>
          <w:bCs/>
          <w:iCs/>
          <w:sz w:val="22"/>
          <w:szCs w:val="22"/>
          <w:lang w:eastAsia="en-US"/>
        </w:rPr>
      </w:pPr>
      <w:r w:rsidRPr="00A028ED">
        <w:rPr>
          <w:rFonts w:ascii="Century Gothic" w:eastAsiaTheme="minorEastAsia" w:hAnsi="Century Gothic"/>
          <w:bCs/>
          <w:iCs/>
          <w:sz w:val="22"/>
          <w:szCs w:val="22"/>
          <w:lang w:eastAsia="en-US"/>
        </w:rPr>
        <w:t>Une nouvelle prise d’eau de capacité 2,8 m3/s réalisée au barrage des</w:t>
      </w:r>
      <w:r w:rsidR="0053635F">
        <w:rPr>
          <w:rFonts w:ascii="Century Gothic" w:eastAsiaTheme="minorEastAsia" w:hAnsi="Century Gothic"/>
          <w:bCs/>
          <w:iCs/>
          <w:sz w:val="22"/>
          <w:szCs w:val="22"/>
          <w:lang w:eastAsia="en-US"/>
        </w:rPr>
        <w:t xml:space="preserve"> Grandes</w:t>
      </w:r>
      <w:r w:rsidRPr="00A028ED">
        <w:rPr>
          <w:rFonts w:ascii="Century Gothic" w:eastAsiaTheme="minorEastAsia" w:hAnsi="Century Gothic"/>
          <w:bCs/>
          <w:iCs/>
          <w:sz w:val="22"/>
          <w:szCs w:val="22"/>
          <w:lang w:eastAsia="en-US"/>
        </w:rPr>
        <w:t xml:space="preserve"> chutes ;</w:t>
      </w:r>
    </w:p>
    <w:p w14:paraId="6E96DD43" w14:textId="5944CD4E" w:rsidR="00F215BD" w:rsidRPr="00A028ED" w:rsidRDefault="00F215BD" w:rsidP="00F215BD">
      <w:pPr>
        <w:pStyle w:val="Paragraphedeliste"/>
        <w:numPr>
          <w:ilvl w:val="0"/>
          <w:numId w:val="12"/>
        </w:numPr>
        <w:spacing w:before="120" w:after="120"/>
        <w:ind w:left="641" w:hanging="357"/>
        <w:contextualSpacing w:val="0"/>
        <w:rPr>
          <w:rFonts w:ascii="Century Gothic" w:hAnsi="Century Gothic"/>
          <w:szCs w:val="24"/>
        </w:rPr>
      </w:pPr>
      <w:r w:rsidRPr="00A028ED">
        <w:rPr>
          <w:rFonts w:ascii="Century Gothic" w:eastAsiaTheme="minorEastAsia" w:hAnsi="Century Gothic"/>
          <w:bCs/>
          <w:iCs/>
          <w:sz w:val="22"/>
          <w:szCs w:val="22"/>
          <w:lang w:eastAsia="en-US"/>
        </w:rPr>
        <w:t>Environ 44 km de conduite</w:t>
      </w:r>
      <w:r w:rsidR="00D60128" w:rsidRPr="00A028ED">
        <w:rPr>
          <w:rFonts w:ascii="Century Gothic" w:eastAsiaTheme="minorEastAsia" w:hAnsi="Century Gothic"/>
          <w:bCs/>
          <w:iCs/>
          <w:sz w:val="22"/>
          <w:szCs w:val="22"/>
          <w:lang w:eastAsia="en-US"/>
        </w:rPr>
        <w:t>s</w:t>
      </w:r>
      <w:r w:rsidRPr="00A028ED">
        <w:rPr>
          <w:rFonts w:ascii="Century Gothic" w:eastAsiaTheme="minorEastAsia" w:hAnsi="Century Gothic"/>
          <w:bCs/>
          <w:iCs/>
          <w:sz w:val="22"/>
          <w:szCs w:val="22"/>
          <w:lang w:eastAsia="en-US"/>
        </w:rPr>
        <w:t xml:space="preserve"> </w:t>
      </w:r>
      <w:r w:rsidR="00D60128" w:rsidRPr="00A028ED">
        <w:rPr>
          <w:rFonts w:ascii="Century Gothic" w:eastAsiaTheme="minorEastAsia" w:hAnsi="Century Gothic"/>
          <w:bCs/>
          <w:iCs/>
          <w:sz w:val="22"/>
          <w:szCs w:val="22"/>
          <w:lang w:eastAsia="en-US"/>
        </w:rPr>
        <w:t xml:space="preserve">de transport d’eau brute </w:t>
      </w:r>
      <w:r w:rsidRPr="00A028ED">
        <w:rPr>
          <w:rFonts w:ascii="Century Gothic" w:eastAsiaTheme="minorEastAsia" w:hAnsi="Century Gothic"/>
          <w:bCs/>
          <w:iCs/>
          <w:sz w:val="22"/>
          <w:szCs w:val="22"/>
          <w:lang w:eastAsia="en-US"/>
        </w:rPr>
        <w:t>DN 1600 mm en Fonte Ductile fournies et posé</w:t>
      </w:r>
      <w:r w:rsidR="00D60128" w:rsidRPr="00A028ED">
        <w:rPr>
          <w:rFonts w:ascii="Century Gothic" w:eastAsiaTheme="minorEastAsia" w:hAnsi="Century Gothic"/>
          <w:bCs/>
          <w:iCs/>
          <w:sz w:val="22"/>
          <w:szCs w:val="22"/>
          <w:lang w:eastAsia="en-US"/>
        </w:rPr>
        <w:t>e</w:t>
      </w:r>
      <w:r w:rsidRPr="00A028ED">
        <w:rPr>
          <w:rFonts w:ascii="Century Gothic" w:eastAsiaTheme="minorEastAsia" w:hAnsi="Century Gothic"/>
          <w:bCs/>
          <w:iCs/>
          <w:sz w:val="22"/>
          <w:szCs w:val="22"/>
          <w:lang w:eastAsia="en-US"/>
        </w:rPr>
        <w:t>s entre le barrage des Grandes</w:t>
      </w:r>
      <w:r w:rsidR="00C2098B">
        <w:rPr>
          <w:rFonts w:ascii="Century Gothic" w:eastAsiaTheme="minorEastAsia" w:hAnsi="Century Gothic"/>
          <w:bCs/>
          <w:iCs/>
          <w:sz w:val="22"/>
          <w:szCs w:val="22"/>
          <w:lang w:eastAsia="en-US"/>
        </w:rPr>
        <w:t xml:space="preserve"> chutes</w:t>
      </w:r>
      <w:r w:rsidRPr="00A028ED">
        <w:rPr>
          <w:rFonts w:ascii="Century Gothic" w:eastAsiaTheme="minorEastAsia" w:hAnsi="Century Gothic"/>
          <w:bCs/>
          <w:iCs/>
          <w:sz w:val="22"/>
          <w:szCs w:val="22"/>
          <w:lang w:eastAsia="en-US"/>
        </w:rPr>
        <w:t xml:space="preserve"> et Yessoulou ;</w:t>
      </w:r>
    </w:p>
    <w:p w14:paraId="38EE719B" w14:textId="77777777" w:rsidR="00F215BD" w:rsidRPr="00A028ED" w:rsidRDefault="00F215BD" w:rsidP="00F215BD">
      <w:pPr>
        <w:pStyle w:val="Paragraphedeliste"/>
        <w:numPr>
          <w:ilvl w:val="0"/>
          <w:numId w:val="12"/>
        </w:numPr>
        <w:spacing w:before="120" w:after="120"/>
        <w:ind w:left="641" w:hanging="357"/>
        <w:contextualSpacing w:val="0"/>
        <w:rPr>
          <w:rFonts w:ascii="Century Gothic" w:hAnsi="Century Gothic"/>
          <w:szCs w:val="24"/>
        </w:rPr>
      </w:pPr>
      <w:r w:rsidRPr="00A028ED">
        <w:rPr>
          <w:rFonts w:ascii="Century Gothic" w:eastAsiaTheme="minorEastAsia" w:hAnsi="Century Gothic"/>
          <w:bCs/>
          <w:iCs/>
          <w:sz w:val="22"/>
          <w:szCs w:val="22"/>
          <w:lang w:eastAsia="en-US"/>
        </w:rPr>
        <w:t xml:space="preserve">Une nouvelle usine de </w:t>
      </w:r>
      <w:r w:rsidRPr="00A028ED">
        <w:rPr>
          <w:rFonts w:ascii="Century Gothic" w:hAnsi="Century Gothic"/>
          <w:bCs/>
          <w:iCs/>
        </w:rPr>
        <w:t>200 000 m</w:t>
      </w:r>
      <w:r w:rsidRPr="00A028ED">
        <w:rPr>
          <w:rFonts w:ascii="Century Gothic" w:hAnsi="Century Gothic"/>
          <w:bCs/>
          <w:iCs/>
          <w:vertAlign w:val="superscript"/>
        </w:rPr>
        <w:t>3</w:t>
      </w:r>
      <w:r w:rsidRPr="00A028ED">
        <w:rPr>
          <w:rFonts w:ascii="Century Gothic" w:hAnsi="Century Gothic"/>
          <w:bCs/>
          <w:iCs/>
        </w:rPr>
        <w:t>/jour de capacité construite à Yessoulou</w:t>
      </w:r>
      <w:r w:rsidRPr="00A028ED">
        <w:rPr>
          <w:rFonts w:ascii="Century Gothic" w:hAnsi="Century Gothic"/>
          <w:b/>
          <w:iCs/>
        </w:rPr>
        <w:t> </w:t>
      </w:r>
      <w:r w:rsidRPr="00A028ED">
        <w:rPr>
          <w:rFonts w:ascii="Century Gothic" w:hAnsi="Century Gothic"/>
          <w:bCs/>
          <w:iCs/>
        </w:rPr>
        <w:t>; </w:t>
      </w:r>
    </w:p>
    <w:p w14:paraId="658F390B" w14:textId="6F2A5A93" w:rsidR="00F215BD" w:rsidRPr="00A028ED" w:rsidRDefault="00F215BD" w:rsidP="00F215BD">
      <w:pPr>
        <w:pStyle w:val="Paragraphedeliste"/>
        <w:numPr>
          <w:ilvl w:val="0"/>
          <w:numId w:val="12"/>
        </w:numPr>
        <w:spacing w:before="120" w:after="120"/>
        <w:ind w:left="641" w:hanging="357"/>
        <w:contextualSpacing w:val="0"/>
        <w:rPr>
          <w:rFonts w:ascii="Century Gothic" w:hAnsi="Century Gothic"/>
          <w:szCs w:val="24"/>
        </w:rPr>
      </w:pPr>
      <w:r w:rsidRPr="00A028ED">
        <w:rPr>
          <w:rFonts w:ascii="Century Gothic" w:eastAsiaTheme="minorEastAsia" w:hAnsi="Century Gothic"/>
          <w:bCs/>
          <w:iCs/>
          <w:sz w:val="22"/>
          <w:szCs w:val="22"/>
          <w:lang w:eastAsia="en-US"/>
        </w:rPr>
        <w:t>Environ 51 km de conduite</w:t>
      </w:r>
      <w:r w:rsidR="00D60128" w:rsidRPr="00A028ED">
        <w:rPr>
          <w:rFonts w:ascii="Century Gothic" w:eastAsiaTheme="minorEastAsia" w:hAnsi="Century Gothic"/>
          <w:bCs/>
          <w:iCs/>
          <w:sz w:val="22"/>
          <w:szCs w:val="22"/>
          <w:lang w:eastAsia="en-US"/>
        </w:rPr>
        <w:t>s</w:t>
      </w:r>
      <w:r w:rsidRPr="00A028ED">
        <w:rPr>
          <w:rFonts w:ascii="Century Gothic" w:eastAsiaTheme="minorEastAsia" w:hAnsi="Century Gothic"/>
          <w:bCs/>
          <w:iCs/>
          <w:sz w:val="22"/>
          <w:szCs w:val="22"/>
          <w:lang w:eastAsia="en-US"/>
        </w:rPr>
        <w:t xml:space="preserve"> </w:t>
      </w:r>
      <w:r w:rsidR="00D60128" w:rsidRPr="00A028ED">
        <w:rPr>
          <w:rFonts w:ascii="Century Gothic" w:eastAsiaTheme="minorEastAsia" w:hAnsi="Century Gothic"/>
          <w:bCs/>
          <w:iCs/>
          <w:sz w:val="22"/>
          <w:szCs w:val="22"/>
          <w:lang w:eastAsia="en-US"/>
        </w:rPr>
        <w:t xml:space="preserve">de transport d’eau traitée </w:t>
      </w:r>
      <w:r w:rsidRPr="00A028ED">
        <w:rPr>
          <w:rFonts w:ascii="Century Gothic" w:eastAsiaTheme="minorEastAsia" w:hAnsi="Century Gothic"/>
          <w:bCs/>
          <w:iCs/>
          <w:sz w:val="22"/>
          <w:szCs w:val="22"/>
          <w:lang w:eastAsia="en-US"/>
        </w:rPr>
        <w:t>DN</w:t>
      </w:r>
      <w:r w:rsidR="00D60128" w:rsidRPr="00A028ED">
        <w:rPr>
          <w:rFonts w:ascii="Century Gothic" w:eastAsiaTheme="minorEastAsia" w:hAnsi="Century Gothic"/>
          <w:bCs/>
          <w:iCs/>
          <w:sz w:val="22"/>
          <w:szCs w:val="22"/>
          <w:lang w:eastAsia="en-US"/>
        </w:rPr>
        <w:t>300 à DN</w:t>
      </w:r>
      <w:r w:rsidRPr="00A028ED">
        <w:rPr>
          <w:rFonts w:ascii="Century Gothic" w:eastAsiaTheme="minorEastAsia" w:hAnsi="Century Gothic"/>
          <w:bCs/>
          <w:iCs/>
          <w:sz w:val="22"/>
          <w:szCs w:val="22"/>
          <w:lang w:eastAsia="en-US"/>
        </w:rPr>
        <w:t xml:space="preserve"> 1600 mm en Fonte Ductile fournies et posé</w:t>
      </w:r>
      <w:r w:rsidR="00D60128" w:rsidRPr="00A028ED">
        <w:rPr>
          <w:rFonts w:ascii="Century Gothic" w:eastAsiaTheme="minorEastAsia" w:hAnsi="Century Gothic"/>
          <w:bCs/>
          <w:iCs/>
          <w:sz w:val="22"/>
          <w:szCs w:val="22"/>
          <w:lang w:eastAsia="en-US"/>
        </w:rPr>
        <w:t>e</w:t>
      </w:r>
      <w:r w:rsidRPr="00A028ED">
        <w:rPr>
          <w:rFonts w:ascii="Century Gothic" w:eastAsiaTheme="minorEastAsia" w:hAnsi="Century Gothic"/>
          <w:bCs/>
          <w:iCs/>
          <w:sz w:val="22"/>
          <w:szCs w:val="22"/>
          <w:lang w:eastAsia="en-US"/>
        </w:rPr>
        <w:t>s ;</w:t>
      </w:r>
    </w:p>
    <w:p w14:paraId="6EE70879" w14:textId="5745DFA6" w:rsidR="00B90BD3" w:rsidRPr="00A028ED" w:rsidRDefault="007273F5" w:rsidP="00F215BD">
      <w:pPr>
        <w:pStyle w:val="Paragraphedeliste"/>
        <w:numPr>
          <w:ilvl w:val="0"/>
          <w:numId w:val="12"/>
        </w:numPr>
        <w:spacing w:before="120" w:after="120"/>
        <w:ind w:left="641" w:hanging="357"/>
        <w:contextualSpacing w:val="0"/>
        <w:rPr>
          <w:rFonts w:ascii="Century Gothic" w:eastAsiaTheme="minorEastAsia" w:hAnsi="Century Gothic"/>
          <w:bCs/>
          <w:iCs/>
          <w:sz w:val="22"/>
          <w:szCs w:val="22"/>
          <w:lang w:eastAsia="en-US"/>
        </w:rPr>
      </w:pPr>
      <w:r w:rsidRPr="00A028ED">
        <w:rPr>
          <w:rFonts w:ascii="Century Gothic" w:eastAsiaTheme="minorEastAsia" w:hAnsi="Century Gothic"/>
          <w:bCs/>
          <w:iCs/>
          <w:sz w:val="22"/>
          <w:szCs w:val="22"/>
          <w:lang w:eastAsia="en-US"/>
        </w:rPr>
        <w:t>6 réservoirs semi-enterrés en béton armé</w:t>
      </w:r>
      <w:r w:rsidR="00B90BD3" w:rsidRPr="00A028ED">
        <w:rPr>
          <w:rFonts w:ascii="Century Gothic" w:eastAsiaTheme="minorEastAsia" w:hAnsi="Century Gothic"/>
          <w:bCs/>
          <w:iCs/>
          <w:sz w:val="22"/>
          <w:szCs w:val="22"/>
          <w:lang w:eastAsia="en-US"/>
        </w:rPr>
        <w:t xml:space="preserve"> </w:t>
      </w:r>
      <w:r w:rsidR="006E3043" w:rsidRPr="00A028ED">
        <w:rPr>
          <w:rFonts w:ascii="Century Gothic" w:eastAsiaTheme="minorEastAsia" w:hAnsi="Century Gothic"/>
          <w:bCs/>
          <w:iCs/>
          <w:sz w:val="22"/>
          <w:szCs w:val="22"/>
          <w:lang w:eastAsia="en-US"/>
        </w:rPr>
        <w:t xml:space="preserve">de capacités </w:t>
      </w:r>
      <w:r w:rsidR="00760E60" w:rsidRPr="00A028ED">
        <w:rPr>
          <w:rFonts w:ascii="Century Gothic" w:eastAsiaTheme="minorEastAsia" w:hAnsi="Century Gothic"/>
          <w:bCs/>
          <w:iCs/>
          <w:sz w:val="22"/>
          <w:szCs w:val="22"/>
          <w:lang w:eastAsia="en-US"/>
        </w:rPr>
        <w:t>cumulées 63</w:t>
      </w:r>
      <w:r w:rsidR="006E3043" w:rsidRPr="00A028ED">
        <w:rPr>
          <w:rFonts w:ascii="Century Gothic" w:eastAsiaTheme="minorEastAsia" w:hAnsi="Century Gothic"/>
          <w:bCs/>
          <w:iCs/>
          <w:sz w:val="22"/>
          <w:szCs w:val="22"/>
          <w:lang w:eastAsia="en-US"/>
        </w:rPr>
        <w:t xml:space="preserve"> 500 m3 </w:t>
      </w:r>
      <w:r w:rsidR="00B90BD3" w:rsidRPr="00A028ED">
        <w:rPr>
          <w:rFonts w:ascii="Century Gothic" w:eastAsiaTheme="minorEastAsia" w:hAnsi="Century Gothic"/>
          <w:bCs/>
          <w:iCs/>
          <w:sz w:val="22"/>
          <w:szCs w:val="22"/>
          <w:lang w:eastAsia="en-US"/>
        </w:rPr>
        <w:t>réalisés ;</w:t>
      </w:r>
    </w:p>
    <w:p w14:paraId="0ECB2639" w14:textId="70C9059D" w:rsidR="001F7CB4" w:rsidRPr="00A028ED" w:rsidRDefault="00FD0FA5" w:rsidP="00F215BD">
      <w:pPr>
        <w:pStyle w:val="Paragraphedeliste"/>
        <w:numPr>
          <w:ilvl w:val="0"/>
          <w:numId w:val="12"/>
        </w:numPr>
        <w:spacing w:before="120" w:after="120"/>
        <w:ind w:left="641" w:hanging="357"/>
        <w:contextualSpacing w:val="0"/>
        <w:rPr>
          <w:rFonts w:ascii="Century Gothic" w:eastAsiaTheme="minorEastAsia" w:hAnsi="Century Gothic"/>
          <w:bCs/>
          <w:iCs/>
          <w:sz w:val="22"/>
          <w:szCs w:val="22"/>
          <w:lang w:eastAsia="en-US"/>
        </w:rPr>
      </w:pPr>
      <w:r w:rsidRPr="00A028ED">
        <w:rPr>
          <w:rFonts w:ascii="Century Gothic" w:eastAsiaTheme="minorEastAsia" w:hAnsi="Century Gothic"/>
          <w:bCs/>
          <w:iCs/>
          <w:sz w:val="22"/>
          <w:szCs w:val="22"/>
          <w:lang w:eastAsia="en-US"/>
        </w:rPr>
        <w:t>Un</w:t>
      </w:r>
      <w:r w:rsidR="00B90BD3" w:rsidRPr="00A028ED">
        <w:rPr>
          <w:rFonts w:ascii="Century Gothic" w:eastAsiaTheme="minorEastAsia" w:hAnsi="Century Gothic"/>
          <w:bCs/>
          <w:iCs/>
          <w:sz w:val="22"/>
          <w:szCs w:val="22"/>
          <w:lang w:eastAsia="en-US"/>
        </w:rPr>
        <w:t xml:space="preserve"> château d’eau métallique </w:t>
      </w:r>
      <w:r w:rsidR="001F7CB4" w:rsidRPr="00A028ED">
        <w:rPr>
          <w:rFonts w:ascii="Century Gothic" w:eastAsiaTheme="minorEastAsia" w:hAnsi="Century Gothic"/>
          <w:bCs/>
          <w:iCs/>
          <w:sz w:val="22"/>
          <w:szCs w:val="22"/>
          <w:lang w:eastAsia="en-US"/>
        </w:rPr>
        <w:t xml:space="preserve">de 500 m3 </w:t>
      </w:r>
      <w:r w:rsidR="00B90BD3" w:rsidRPr="00A028ED">
        <w:rPr>
          <w:rFonts w:ascii="Century Gothic" w:eastAsiaTheme="minorEastAsia" w:hAnsi="Century Gothic"/>
          <w:bCs/>
          <w:iCs/>
          <w:sz w:val="22"/>
          <w:szCs w:val="22"/>
          <w:lang w:eastAsia="en-US"/>
        </w:rPr>
        <w:t xml:space="preserve">réalisé sur </w:t>
      </w:r>
      <w:r w:rsidR="001F7CB4" w:rsidRPr="00A028ED">
        <w:rPr>
          <w:rFonts w:ascii="Century Gothic" w:eastAsiaTheme="minorEastAsia" w:hAnsi="Century Gothic"/>
          <w:bCs/>
          <w:iCs/>
          <w:sz w:val="22"/>
          <w:szCs w:val="22"/>
          <w:lang w:eastAsia="en-US"/>
        </w:rPr>
        <w:t>le site de Kouria ;</w:t>
      </w:r>
    </w:p>
    <w:p w14:paraId="085DBBE9" w14:textId="50B593F2" w:rsidR="00F215BD" w:rsidRPr="00A028ED" w:rsidRDefault="001F7CB4" w:rsidP="00F215BD">
      <w:pPr>
        <w:pStyle w:val="Paragraphedeliste"/>
        <w:numPr>
          <w:ilvl w:val="0"/>
          <w:numId w:val="12"/>
        </w:numPr>
        <w:spacing w:before="120" w:after="120"/>
        <w:ind w:left="641" w:hanging="357"/>
        <w:contextualSpacing w:val="0"/>
        <w:rPr>
          <w:rFonts w:ascii="Century Gothic" w:eastAsiaTheme="minorEastAsia" w:hAnsi="Century Gothic"/>
          <w:bCs/>
          <w:iCs/>
          <w:sz w:val="22"/>
          <w:szCs w:val="22"/>
          <w:lang w:eastAsia="en-US"/>
        </w:rPr>
      </w:pPr>
      <w:r w:rsidRPr="00A028ED">
        <w:rPr>
          <w:rFonts w:ascii="Century Gothic" w:eastAsiaTheme="minorEastAsia" w:hAnsi="Century Gothic"/>
          <w:bCs/>
          <w:iCs/>
          <w:sz w:val="22"/>
          <w:szCs w:val="22"/>
          <w:lang w:eastAsia="en-US"/>
        </w:rPr>
        <w:t xml:space="preserve">Environ 390 km de </w:t>
      </w:r>
      <w:r w:rsidR="00FD0FA5" w:rsidRPr="00A028ED">
        <w:rPr>
          <w:rFonts w:ascii="Century Gothic" w:eastAsiaTheme="minorEastAsia" w:hAnsi="Century Gothic"/>
          <w:bCs/>
          <w:iCs/>
          <w:sz w:val="22"/>
          <w:szCs w:val="22"/>
          <w:lang w:eastAsia="en-US"/>
        </w:rPr>
        <w:t xml:space="preserve">canalisations de </w:t>
      </w:r>
      <w:r w:rsidRPr="00A028ED">
        <w:rPr>
          <w:rFonts w:ascii="Century Gothic" w:eastAsiaTheme="minorEastAsia" w:hAnsi="Century Gothic"/>
          <w:bCs/>
          <w:iCs/>
          <w:sz w:val="22"/>
          <w:szCs w:val="22"/>
          <w:lang w:eastAsia="en-US"/>
        </w:rPr>
        <w:t xml:space="preserve">réseau de distribution </w:t>
      </w:r>
      <w:r w:rsidR="00FD0FA5" w:rsidRPr="00A028ED">
        <w:rPr>
          <w:rFonts w:ascii="Century Gothic" w:eastAsiaTheme="minorEastAsia" w:hAnsi="Century Gothic"/>
          <w:bCs/>
          <w:iCs/>
          <w:sz w:val="22"/>
          <w:szCs w:val="22"/>
          <w:lang w:eastAsia="en-US"/>
        </w:rPr>
        <w:t xml:space="preserve">en PEHD </w:t>
      </w:r>
      <w:r w:rsidR="00D13999" w:rsidRPr="00A028ED">
        <w:rPr>
          <w:rFonts w:ascii="Century Gothic" w:eastAsiaTheme="minorEastAsia" w:hAnsi="Century Gothic"/>
          <w:bCs/>
          <w:iCs/>
          <w:sz w:val="22"/>
          <w:szCs w:val="22"/>
          <w:lang w:eastAsia="en-US"/>
        </w:rPr>
        <w:t>(330</w:t>
      </w:r>
      <w:r w:rsidR="00FD0FA5" w:rsidRPr="00A028ED">
        <w:rPr>
          <w:rFonts w:ascii="Century Gothic" w:eastAsiaTheme="minorEastAsia" w:hAnsi="Century Gothic"/>
          <w:bCs/>
          <w:iCs/>
          <w:sz w:val="22"/>
          <w:szCs w:val="22"/>
          <w:lang w:eastAsia="en-US"/>
        </w:rPr>
        <w:t>km</w:t>
      </w:r>
      <w:r w:rsidR="006E3043" w:rsidRPr="00A028ED">
        <w:rPr>
          <w:rFonts w:ascii="Century Gothic" w:eastAsiaTheme="minorEastAsia" w:hAnsi="Century Gothic"/>
          <w:bCs/>
          <w:iCs/>
          <w:sz w:val="22"/>
          <w:szCs w:val="22"/>
          <w:lang w:eastAsia="en-US"/>
        </w:rPr>
        <w:t>, DE63 à 250mm</w:t>
      </w:r>
      <w:r w:rsidR="00FD0FA5" w:rsidRPr="00A028ED">
        <w:rPr>
          <w:rFonts w:ascii="Century Gothic" w:eastAsiaTheme="minorEastAsia" w:hAnsi="Century Gothic"/>
          <w:bCs/>
          <w:iCs/>
          <w:sz w:val="22"/>
          <w:szCs w:val="22"/>
          <w:lang w:eastAsia="en-US"/>
        </w:rPr>
        <w:t>) et en Fonte Ductile (</w:t>
      </w:r>
      <w:r w:rsidR="000A01A6" w:rsidRPr="00A028ED">
        <w:rPr>
          <w:rFonts w:ascii="Century Gothic" w:eastAsiaTheme="minorEastAsia" w:hAnsi="Century Gothic"/>
          <w:bCs/>
          <w:iCs/>
          <w:sz w:val="22"/>
          <w:szCs w:val="22"/>
          <w:lang w:eastAsia="en-US"/>
        </w:rPr>
        <w:t>70</w:t>
      </w:r>
      <w:r w:rsidR="00FD0FA5" w:rsidRPr="00A028ED">
        <w:rPr>
          <w:rFonts w:ascii="Century Gothic" w:eastAsiaTheme="minorEastAsia" w:hAnsi="Century Gothic"/>
          <w:bCs/>
          <w:iCs/>
          <w:sz w:val="22"/>
          <w:szCs w:val="22"/>
          <w:lang w:eastAsia="en-US"/>
        </w:rPr>
        <w:t>km</w:t>
      </w:r>
      <w:r w:rsidR="006E3043" w:rsidRPr="00A028ED">
        <w:rPr>
          <w:rFonts w:ascii="Century Gothic" w:eastAsiaTheme="minorEastAsia" w:hAnsi="Century Gothic"/>
          <w:bCs/>
          <w:iCs/>
          <w:sz w:val="22"/>
          <w:szCs w:val="22"/>
          <w:lang w:eastAsia="en-US"/>
        </w:rPr>
        <w:t>, DN300 à 600mm</w:t>
      </w:r>
      <w:r w:rsidR="00FD0FA5" w:rsidRPr="00A028ED">
        <w:rPr>
          <w:rFonts w:ascii="Century Gothic" w:eastAsiaTheme="minorEastAsia" w:hAnsi="Century Gothic"/>
          <w:bCs/>
          <w:iCs/>
          <w:sz w:val="22"/>
          <w:szCs w:val="22"/>
          <w:lang w:eastAsia="en-US"/>
        </w:rPr>
        <w:t>)</w:t>
      </w:r>
      <w:r w:rsidR="006E3043" w:rsidRPr="00A028ED">
        <w:rPr>
          <w:rFonts w:ascii="Century Gothic" w:eastAsiaTheme="minorEastAsia" w:hAnsi="Century Gothic"/>
          <w:bCs/>
          <w:iCs/>
          <w:sz w:val="22"/>
          <w:szCs w:val="22"/>
          <w:lang w:eastAsia="en-US"/>
        </w:rPr>
        <w:t xml:space="preserve"> </w:t>
      </w:r>
      <w:r w:rsidR="00FD0FA5" w:rsidRPr="00A028ED">
        <w:rPr>
          <w:rFonts w:ascii="Century Gothic" w:eastAsiaTheme="minorEastAsia" w:hAnsi="Century Gothic"/>
          <w:bCs/>
          <w:iCs/>
          <w:sz w:val="22"/>
          <w:szCs w:val="22"/>
          <w:lang w:eastAsia="en-US"/>
        </w:rPr>
        <w:t>fournies et posées ;</w:t>
      </w:r>
    </w:p>
    <w:p w14:paraId="2D0A906D" w14:textId="2E755EE8" w:rsidR="00FD0FA5" w:rsidRPr="00A028ED" w:rsidRDefault="00FD0FA5" w:rsidP="00F215BD">
      <w:pPr>
        <w:pStyle w:val="Paragraphedeliste"/>
        <w:numPr>
          <w:ilvl w:val="0"/>
          <w:numId w:val="12"/>
        </w:numPr>
        <w:spacing w:before="120" w:after="120"/>
        <w:ind w:left="641" w:hanging="357"/>
        <w:contextualSpacing w:val="0"/>
        <w:rPr>
          <w:rFonts w:ascii="Century Gothic" w:eastAsiaTheme="minorEastAsia" w:hAnsi="Century Gothic"/>
          <w:bCs/>
          <w:iCs/>
          <w:sz w:val="22"/>
          <w:szCs w:val="22"/>
          <w:lang w:eastAsia="en-US"/>
        </w:rPr>
      </w:pPr>
      <w:r w:rsidRPr="00A028ED">
        <w:rPr>
          <w:rFonts w:ascii="Century Gothic" w:eastAsiaTheme="minorEastAsia" w:hAnsi="Century Gothic"/>
          <w:bCs/>
          <w:iCs/>
          <w:sz w:val="22"/>
          <w:szCs w:val="22"/>
          <w:lang w:eastAsia="en-US"/>
        </w:rPr>
        <w:t>Environ 30 000 branchements sociaux et 29 bornes fontaines réalisés.</w:t>
      </w:r>
    </w:p>
    <w:p w14:paraId="6ADDF41E" w14:textId="6AE959BC" w:rsidR="00FD0FA5" w:rsidRPr="00A028ED" w:rsidRDefault="00FD0FA5">
      <w:pPr>
        <w:spacing w:after="0" w:line="240" w:lineRule="auto"/>
        <w:rPr>
          <w:rFonts w:ascii="Century Gothic" w:eastAsia="Times New Roman" w:hAnsi="Century Gothic" w:cs="Times New Roman"/>
          <w:sz w:val="24"/>
          <w:szCs w:val="24"/>
          <w:lang w:eastAsia="fr-FR"/>
        </w:rPr>
      </w:pPr>
      <w:r w:rsidRPr="00A028ED">
        <w:rPr>
          <w:rFonts w:ascii="Century Gothic" w:hAnsi="Century Gothic"/>
          <w:szCs w:val="24"/>
        </w:rPr>
        <w:br w:type="page"/>
      </w:r>
    </w:p>
    <w:p w14:paraId="776B74E8" w14:textId="77777777" w:rsidR="00BE55A5" w:rsidRPr="00A028ED" w:rsidRDefault="00BE55A5">
      <w:pPr>
        <w:tabs>
          <w:tab w:val="left" w:pos="-720"/>
          <w:tab w:val="left" w:pos="0"/>
        </w:tabs>
        <w:spacing w:before="240" w:after="120"/>
        <w:rPr>
          <w:rFonts w:ascii="Century Gothic" w:hAnsi="Century Gothic" w:cs="Times New Roman"/>
          <w:spacing w:val="-3"/>
          <w:sz w:val="24"/>
          <w:szCs w:val="24"/>
        </w:rPr>
        <w:sectPr w:rsidR="00BE55A5" w:rsidRPr="00A028ED">
          <w:footerReference w:type="even" r:id="rId7"/>
          <w:footerReference w:type="default" r:id="rId8"/>
          <w:footerReference w:type="first" r:id="rId9"/>
          <w:pgSz w:w="11906" w:h="16838"/>
          <w:pgMar w:top="1417" w:right="1417" w:bottom="1417" w:left="1417" w:header="708" w:footer="708" w:gutter="0"/>
          <w:cols w:space="708"/>
          <w:docGrid w:linePitch="360"/>
        </w:sectPr>
      </w:pPr>
    </w:p>
    <w:p w14:paraId="1F4F6226" w14:textId="2F0E784B" w:rsidR="006C4B91" w:rsidRPr="00FC1720" w:rsidRDefault="006C4B91" w:rsidP="00BE55A5">
      <w:pPr>
        <w:tabs>
          <w:tab w:val="left" w:pos="-720"/>
          <w:tab w:val="left" w:pos="0"/>
        </w:tabs>
        <w:spacing w:before="240" w:after="120"/>
        <w:jc w:val="center"/>
        <w:rPr>
          <w:rFonts w:ascii="Century Gothic" w:hAnsi="Century Gothic" w:cs="Times New Roman"/>
          <w:spacing w:val="-3"/>
        </w:rPr>
      </w:pPr>
      <w:r w:rsidRPr="00FC1720">
        <w:rPr>
          <w:rFonts w:ascii="Century Gothic" w:hAnsi="Century Gothic" w:cs="Times New Roman"/>
        </w:rPr>
        <w:lastRenderedPageBreak/>
        <w:t xml:space="preserve">Les </w:t>
      </w:r>
      <w:r w:rsidR="00EF3A9F" w:rsidRPr="00FC1720">
        <w:rPr>
          <w:rFonts w:ascii="Century Gothic" w:hAnsi="Century Gothic" w:cs="Times New Roman"/>
        </w:rPr>
        <w:t>détails</w:t>
      </w:r>
      <w:r w:rsidRPr="00FC1720">
        <w:rPr>
          <w:rFonts w:ascii="Century Gothic" w:hAnsi="Century Gothic" w:cs="Times New Roman"/>
        </w:rPr>
        <w:t xml:space="preserve"> du marché du lot</w:t>
      </w:r>
      <w:r w:rsidR="00EF3A9F" w:rsidRPr="00FC1720">
        <w:rPr>
          <w:rFonts w:ascii="Century Gothic" w:hAnsi="Century Gothic" w:cs="Times New Roman"/>
        </w:rPr>
        <w:t xml:space="preserve"> 5</w:t>
      </w:r>
      <w:r w:rsidRPr="00FC1720">
        <w:rPr>
          <w:rFonts w:ascii="Century Gothic" w:hAnsi="Century Gothic" w:cs="Times New Roman"/>
        </w:rPr>
        <w:t xml:space="preserve"> sont donnés dans le tableau ci-après : </w:t>
      </w:r>
    </w:p>
    <w:p w14:paraId="772F26C9" w14:textId="77777777" w:rsidR="00BE55A5" w:rsidRPr="00A028ED" w:rsidRDefault="00BE55A5">
      <w:pPr>
        <w:spacing w:after="0"/>
        <w:rPr>
          <w:rFonts w:ascii="Century Gothic" w:hAnsi="Century Gothic"/>
          <w:szCs w:val="24"/>
        </w:rPr>
      </w:pPr>
    </w:p>
    <w:tbl>
      <w:tblPr>
        <w:tblW w:w="5000" w:type="pct"/>
        <w:tblInd w:w="-714" w:type="dxa"/>
        <w:tblLayout w:type="fixed"/>
        <w:tblCellMar>
          <w:left w:w="70" w:type="dxa"/>
          <w:right w:w="70" w:type="dxa"/>
        </w:tblCellMar>
        <w:tblLook w:val="04A0" w:firstRow="1" w:lastRow="0" w:firstColumn="1" w:lastColumn="0" w:noHBand="0" w:noVBand="1"/>
      </w:tblPr>
      <w:tblGrid>
        <w:gridCol w:w="1820"/>
        <w:gridCol w:w="2520"/>
        <w:gridCol w:w="4195"/>
        <w:gridCol w:w="1399"/>
        <w:gridCol w:w="4058"/>
      </w:tblGrid>
      <w:tr w:rsidR="00425928" w:rsidRPr="005645B5" w14:paraId="70B1402B" w14:textId="77777777" w:rsidTr="00DE20D4">
        <w:trPr>
          <w:trHeight w:val="1296"/>
          <w:tblHeader/>
        </w:trPr>
        <w:tc>
          <w:tcPr>
            <w:tcW w:w="650" w:type="pct"/>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039AE0F0" w14:textId="5C964943" w:rsidR="00BE55A5" w:rsidRPr="00FC1720" w:rsidRDefault="005D588F" w:rsidP="005D588F">
            <w:pPr>
              <w:jc w:val="center"/>
              <w:rPr>
                <w:rFonts w:ascii="Century Gothic" w:eastAsia="Calibri" w:hAnsi="Century Gothic" w:cs="Times New Roman"/>
                <w:b/>
                <w:bCs/>
                <w:lang w:val="en-US"/>
              </w:rPr>
            </w:pPr>
            <w:r w:rsidRPr="00FC1720">
              <w:rPr>
                <w:rFonts w:ascii="Century Gothic" w:eastAsia="Calibri" w:hAnsi="Century Gothic" w:cs="Times New Roman"/>
                <w:b/>
                <w:bCs/>
                <w:lang w:val="en-US"/>
              </w:rPr>
              <w:t>Lot</w:t>
            </w:r>
            <w:r w:rsidR="005645B5" w:rsidRPr="00FC1720">
              <w:rPr>
                <w:rFonts w:ascii="Century Gothic" w:eastAsia="Calibri" w:hAnsi="Century Gothic" w:cs="Times New Roman"/>
                <w:b/>
                <w:bCs/>
                <w:lang w:val="en-US"/>
              </w:rPr>
              <w:t xml:space="preserve"> de </w:t>
            </w:r>
            <w:r w:rsidRPr="00FC1720">
              <w:rPr>
                <w:rFonts w:ascii="Century Gothic" w:eastAsia="Calibri" w:hAnsi="Century Gothic" w:cs="Times New Roman"/>
                <w:b/>
                <w:bCs/>
                <w:lang w:val="en-US"/>
              </w:rPr>
              <w:t>travaux</w:t>
            </w:r>
            <w:r w:rsidR="002E25B4" w:rsidRPr="00FC1720">
              <w:rPr>
                <w:rFonts w:ascii="Century Gothic" w:eastAsia="Calibri" w:hAnsi="Century Gothic" w:cs="Times New Roman"/>
                <w:b/>
                <w:bCs/>
                <w:lang w:val="en-US"/>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67B41800" w14:textId="33F8F929" w:rsidR="00BE55A5" w:rsidRPr="00FC1720" w:rsidRDefault="005D588F" w:rsidP="005D588F">
            <w:pPr>
              <w:jc w:val="center"/>
              <w:rPr>
                <w:rFonts w:ascii="Century Gothic" w:eastAsia="Calibri" w:hAnsi="Century Gothic" w:cs="Times New Roman"/>
                <w:b/>
                <w:bCs/>
                <w:lang w:val="en-US"/>
              </w:rPr>
            </w:pPr>
            <w:r w:rsidRPr="00FC1720">
              <w:rPr>
                <w:rFonts w:ascii="Century Gothic" w:eastAsia="Calibri" w:hAnsi="Century Gothic" w:cs="Times New Roman"/>
                <w:b/>
                <w:bCs/>
                <w:lang w:val="en-US"/>
              </w:rPr>
              <w:t>Designation</w:t>
            </w:r>
          </w:p>
        </w:tc>
        <w:tc>
          <w:tcPr>
            <w:tcW w:w="1499" w:type="pct"/>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0309966A" w14:textId="25DD7E73" w:rsidR="00BE55A5" w:rsidRPr="00FC1720" w:rsidRDefault="005D588F" w:rsidP="005D588F">
            <w:pPr>
              <w:jc w:val="center"/>
              <w:rPr>
                <w:rFonts w:ascii="Century Gothic" w:eastAsia="Calibri" w:hAnsi="Century Gothic" w:cs="Times New Roman"/>
                <w:b/>
                <w:bCs/>
                <w:lang w:val="en-US"/>
              </w:rPr>
            </w:pPr>
            <w:r w:rsidRPr="00FC1720">
              <w:rPr>
                <w:rFonts w:ascii="Century Gothic" w:eastAsia="Calibri" w:hAnsi="Century Gothic" w:cs="Times New Roman"/>
                <w:b/>
                <w:bCs/>
                <w:lang w:val="en-US"/>
              </w:rPr>
              <w:t>Descriptif</w:t>
            </w:r>
          </w:p>
        </w:tc>
        <w:tc>
          <w:tcPr>
            <w:tcW w:w="500" w:type="pct"/>
            <w:tcBorders>
              <w:top w:val="single" w:sz="4" w:space="0" w:color="auto"/>
              <w:left w:val="single" w:sz="4" w:space="0" w:color="auto"/>
              <w:bottom w:val="single" w:sz="4" w:space="0" w:color="auto"/>
              <w:right w:val="single" w:sz="4" w:space="0" w:color="auto"/>
            </w:tcBorders>
            <w:shd w:val="clear" w:color="000000" w:fill="0070C0"/>
          </w:tcPr>
          <w:p w14:paraId="4806FDAF" w14:textId="77777777" w:rsidR="005D588F" w:rsidRPr="00FC1720" w:rsidRDefault="005D588F" w:rsidP="005D588F">
            <w:pPr>
              <w:jc w:val="center"/>
              <w:rPr>
                <w:rFonts w:ascii="Century Gothic" w:eastAsia="Calibri" w:hAnsi="Century Gothic" w:cs="Times New Roman"/>
                <w:b/>
                <w:bCs/>
              </w:rPr>
            </w:pPr>
          </w:p>
          <w:p w14:paraId="21DC0EE4" w14:textId="3BAF1D62" w:rsidR="00BE55A5" w:rsidRPr="00FC1720" w:rsidRDefault="005D588F" w:rsidP="005D588F">
            <w:pPr>
              <w:jc w:val="center"/>
              <w:rPr>
                <w:rFonts w:ascii="Century Gothic" w:eastAsia="Calibri" w:hAnsi="Century Gothic" w:cs="Times New Roman"/>
                <w:b/>
                <w:bCs/>
              </w:rPr>
            </w:pPr>
            <w:r w:rsidRPr="00FC1720">
              <w:rPr>
                <w:rFonts w:ascii="Century Gothic" w:eastAsia="Calibri" w:hAnsi="Century Gothic" w:cs="Times New Roman"/>
                <w:b/>
                <w:bCs/>
              </w:rPr>
              <w:t>Bailleur</w:t>
            </w:r>
          </w:p>
        </w:tc>
        <w:tc>
          <w:tcPr>
            <w:tcW w:w="1450" w:type="pct"/>
            <w:tcBorders>
              <w:top w:val="single" w:sz="4" w:space="0" w:color="auto"/>
              <w:left w:val="single" w:sz="4" w:space="0" w:color="auto"/>
              <w:bottom w:val="single" w:sz="4" w:space="0" w:color="auto"/>
              <w:right w:val="single" w:sz="4" w:space="0" w:color="auto"/>
            </w:tcBorders>
            <w:shd w:val="clear" w:color="000000" w:fill="0070C0"/>
            <w:vAlign w:val="center"/>
          </w:tcPr>
          <w:p w14:paraId="12340505" w14:textId="5947F372" w:rsidR="00BE55A5" w:rsidRPr="00FC1720" w:rsidRDefault="00425928" w:rsidP="00BE55A5">
            <w:pPr>
              <w:jc w:val="center"/>
              <w:rPr>
                <w:rFonts w:ascii="Century Gothic" w:eastAsia="Calibri" w:hAnsi="Century Gothic" w:cs="Times New Roman"/>
                <w:b/>
                <w:bCs/>
              </w:rPr>
            </w:pPr>
            <w:r w:rsidRPr="00FC1720">
              <w:rPr>
                <w:rFonts w:ascii="Century Gothic" w:hAnsi="Century Gothic"/>
                <w:b/>
                <w:bCs/>
                <w:color w:val="000000"/>
              </w:rPr>
              <w:t>Méthode de sélection/ Approche de sélection/</w:t>
            </w:r>
            <w:r w:rsidR="005D588F" w:rsidRPr="00FC1720">
              <w:rPr>
                <w:rFonts w:ascii="Century Gothic" w:hAnsi="Century Gothic"/>
                <w:b/>
                <w:bCs/>
                <w:color w:val="000000"/>
              </w:rPr>
              <w:t xml:space="preserve"> </w:t>
            </w:r>
            <w:r w:rsidR="00BC1E06" w:rsidRPr="00FC1720">
              <w:rPr>
                <w:rFonts w:ascii="Century Gothic" w:hAnsi="Century Gothic"/>
                <w:b/>
                <w:bCs/>
                <w:color w:val="000000"/>
              </w:rPr>
              <w:t>Evaluation/</w:t>
            </w:r>
            <w:r w:rsidR="005D588F" w:rsidRPr="00FC1720">
              <w:rPr>
                <w:rFonts w:ascii="Century Gothic" w:hAnsi="Century Gothic"/>
                <w:b/>
                <w:bCs/>
                <w:color w:val="000000"/>
              </w:rPr>
              <w:t>Document d’Appel d’offres</w:t>
            </w:r>
          </w:p>
        </w:tc>
      </w:tr>
      <w:tr w:rsidR="00460739" w:rsidRPr="005645B5" w14:paraId="6688F412" w14:textId="77777777" w:rsidTr="00DE20D4">
        <w:trPr>
          <w:trHeight w:val="2304"/>
        </w:trPr>
        <w:tc>
          <w:tcPr>
            <w:tcW w:w="650" w:type="pct"/>
            <w:tcBorders>
              <w:top w:val="single" w:sz="4" w:space="0" w:color="auto"/>
              <w:left w:val="single" w:sz="4" w:space="0" w:color="auto"/>
              <w:bottom w:val="single" w:sz="4" w:space="0" w:color="auto"/>
              <w:right w:val="single" w:sz="4" w:space="0" w:color="auto"/>
            </w:tcBorders>
            <w:shd w:val="clear" w:color="000000" w:fill="FFFFFF"/>
            <w:noWrap/>
            <w:hideMark/>
          </w:tcPr>
          <w:p w14:paraId="5AF7AA08" w14:textId="1C24346D" w:rsidR="00460739" w:rsidRPr="00FC1720" w:rsidRDefault="00460739" w:rsidP="00460739">
            <w:pPr>
              <w:rPr>
                <w:rFonts w:ascii="Century Gothic" w:eastAsia="Calibri" w:hAnsi="Century Gothic" w:cs="Times New Roman"/>
                <w:b/>
                <w:bCs/>
                <w:lang w:val="en-US"/>
              </w:rPr>
            </w:pPr>
            <w:r w:rsidRPr="00FC1720">
              <w:rPr>
                <w:rFonts w:ascii="Century Gothic" w:eastAsia="Calibri" w:hAnsi="Century Gothic" w:cs="Times New Roman"/>
                <w:b/>
                <w:bCs/>
                <w:lang w:val="en-US"/>
              </w:rPr>
              <w:t>LOT 5</w:t>
            </w:r>
          </w:p>
        </w:tc>
        <w:tc>
          <w:tcPr>
            <w:tcW w:w="900" w:type="pct"/>
            <w:tcBorders>
              <w:top w:val="single" w:sz="4" w:space="0" w:color="auto"/>
              <w:left w:val="single" w:sz="4" w:space="0" w:color="auto"/>
              <w:bottom w:val="single" w:sz="4" w:space="0" w:color="auto"/>
              <w:right w:val="single" w:sz="4" w:space="0" w:color="auto"/>
            </w:tcBorders>
            <w:shd w:val="clear" w:color="000000" w:fill="FFFFFF"/>
            <w:hideMark/>
          </w:tcPr>
          <w:p w14:paraId="6A42CAD9" w14:textId="2E7DFAF1" w:rsidR="00460739" w:rsidRPr="00FC1720" w:rsidRDefault="00460739" w:rsidP="00460739">
            <w:pPr>
              <w:rPr>
                <w:rFonts w:ascii="Century Gothic" w:eastAsia="Calibri" w:hAnsi="Century Gothic" w:cs="Times New Roman"/>
                <w:b/>
                <w:bCs/>
              </w:rPr>
            </w:pPr>
            <w:r w:rsidRPr="00FC1720">
              <w:rPr>
                <w:rFonts w:ascii="Century Gothic" w:hAnsi="Century Gothic"/>
                <w:b/>
                <w:iCs/>
              </w:rPr>
              <w:t>Construction des réservoirs de Kagbelen et de Kouria et fourniture et pose des réseaux de distribution d’eau potable dans les zones de service y associés et dans la zone Manéah</w:t>
            </w:r>
          </w:p>
        </w:tc>
        <w:tc>
          <w:tcPr>
            <w:tcW w:w="1499" w:type="pct"/>
            <w:tcBorders>
              <w:top w:val="single" w:sz="4" w:space="0" w:color="auto"/>
              <w:left w:val="single" w:sz="4" w:space="0" w:color="auto"/>
              <w:bottom w:val="single" w:sz="4" w:space="0" w:color="auto"/>
              <w:right w:val="single" w:sz="4" w:space="0" w:color="auto"/>
            </w:tcBorders>
            <w:shd w:val="clear" w:color="000000" w:fill="FFFFFF"/>
            <w:hideMark/>
          </w:tcPr>
          <w:p w14:paraId="37669859" w14:textId="77777777" w:rsidR="00E66A81" w:rsidRPr="00FC1720" w:rsidRDefault="00460739" w:rsidP="00460739">
            <w:pPr>
              <w:spacing w:line="360" w:lineRule="auto"/>
              <w:rPr>
                <w:rFonts w:ascii="Century Gothic" w:eastAsia="Calibri" w:hAnsi="Century Gothic" w:cs="Times New Roman"/>
                <w:b/>
                <w:bCs/>
              </w:rPr>
            </w:pPr>
            <w:r w:rsidRPr="00FC1720">
              <w:rPr>
                <w:rFonts w:ascii="Century Gothic" w:eastAsia="Calibri" w:hAnsi="Century Gothic" w:cs="Times New Roman"/>
                <w:b/>
                <w:bCs/>
              </w:rPr>
              <w:t>TOTAL : 2 réservoirs [ 8</w:t>
            </w:r>
            <w:r w:rsidR="00DE20D4" w:rsidRPr="00FC1720">
              <w:rPr>
                <w:rFonts w:ascii="Century Gothic" w:eastAsia="Calibri" w:hAnsi="Century Gothic" w:cs="Times New Roman"/>
                <w:b/>
                <w:bCs/>
              </w:rPr>
              <w:t xml:space="preserve"> </w:t>
            </w:r>
            <w:r w:rsidRPr="00FC1720">
              <w:rPr>
                <w:rFonts w:ascii="Century Gothic" w:eastAsia="Calibri" w:hAnsi="Century Gothic" w:cs="Times New Roman"/>
                <w:b/>
                <w:bCs/>
              </w:rPr>
              <w:t>000 m3 ] / 104.8 km / 9 370 Branchements</w:t>
            </w:r>
            <w:r w:rsidR="00E66A81" w:rsidRPr="00FC1720">
              <w:rPr>
                <w:rFonts w:ascii="Century Gothic" w:eastAsia="Calibri" w:hAnsi="Century Gothic" w:cs="Times New Roman"/>
                <w:b/>
                <w:bCs/>
              </w:rPr>
              <w:t> :</w:t>
            </w:r>
          </w:p>
          <w:p w14:paraId="1F6CCDC9" w14:textId="65C4510F" w:rsidR="00460739" w:rsidRPr="00FC1720" w:rsidRDefault="00460739" w:rsidP="00E66A81">
            <w:pPr>
              <w:spacing w:after="0" w:line="360" w:lineRule="auto"/>
              <w:rPr>
                <w:rFonts w:ascii="Century Gothic" w:eastAsia="Calibri" w:hAnsi="Century Gothic" w:cs="Times New Roman"/>
              </w:rPr>
            </w:pPr>
            <w:r w:rsidRPr="00FC1720">
              <w:rPr>
                <w:rFonts w:ascii="Century Gothic" w:eastAsia="Calibri" w:hAnsi="Century Gothic" w:cs="Times New Roman"/>
              </w:rPr>
              <w:br/>
              <w:t xml:space="preserve">* </w:t>
            </w:r>
            <w:r w:rsidRPr="00FC1720">
              <w:rPr>
                <w:rFonts w:ascii="Century Gothic" w:eastAsia="Calibri" w:hAnsi="Century Gothic" w:cs="Times New Roman"/>
                <w:b/>
                <w:bCs/>
              </w:rPr>
              <w:t>KOURIA</w:t>
            </w:r>
            <w:r w:rsidRPr="00FC1720">
              <w:rPr>
                <w:rFonts w:ascii="Century Gothic" w:eastAsia="Calibri" w:hAnsi="Century Gothic" w:cs="Times New Roman"/>
              </w:rPr>
              <w:t xml:space="preserve"> :</w:t>
            </w:r>
            <w:r w:rsidRPr="00FC1720">
              <w:rPr>
                <w:rFonts w:ascii="Century Gothic" w:eastAsia="Calibri" w:hAnsi="Century Gothic" w:cs="Times New Roman"/>
              </w:rPr>
              <w:br/>
              <w:t xml:space="preserve">   - Réservoir : </w:t>
            </w:r>
            <w:r w:rsidRPr="00FC1720">
              <w:rPr>
                <w:rFonts w:ascii="Century Gothic" w:eastAsia="Calibri" w:hAnsi="Century Gothic" w:cs="Times New Roman"/>
                <w:b/>
                <w:bCs/>
              </w:rPr>
              <w:t>500 m3</w:t>
            </w:r>
            <w:r w:rsidRPr="00FC1720">
              <w:rPr>
                <w:rFonts w:ascii="Century Gothic" w:eastAsia="Calibri" w:hAnsi="Century Gothic" w:cs="Times New Roman"/>
              </w:rPr>
              <w:br/>
              <w:t xml:space="preserve">   - Réseau de distribution : </w:t>
            </w:r>
            <w:r w:rsidRPr="00FC1720">
              <w:rPr>
                <w:rFonts w:ascii="Century Gothic" w:eastAsia="Calibri" w:hAnsi="Century Gothic" w:cs="Times New Roman"/>
                <w:b/>
                <w:bCs/>
              </w:rPr>
              <w:t>6.5 km</w:t>
            </w:r>
            <w:r w:rsidRPr="00FC1720">
              <w:rPr>
                <w:rFonts w:ascii="Century Gothic" w:eastAsia="Calibri" w:hAnsi="Century Gothic" w:cs="Times New Roman"/>
              </w:rPr>
              <w:br/>
              <w:t xml:space="preserve">   - </w:t>
            </w:r>
            <w:r w:rsidRPr="00FC1720">
              <w:rPr>
                <w:rFonts w:ascii="Century Gothic" w:eastAsia="Calibri" w:hAnsi="Century Gothic" w:cs="Times New Roman"/>
                <w:b/>
                <w:bCs/>
              </w:rPr>
              <w:t>220 Branchements</w:t>
            </w:r>
            <w:r w:rsidRPr="00FC1720">
              <w:rPr>
                <w:rFonts w:ascii="Century Gothic" w:eastAsia="Calibri" w:hAnsi="Century Gothic" w:cs="Times New Roman"/>
              </w:rPr>
              <w:br/>
              <w:t xml:space="preserve">* </w:t>
            </w:r>
            <w:r w:rsidRPr="00FC1720">
              <w:rPr>
                <w:rFonts w:ascii="Century Gothic" w:eastAsia="Calibri" w:hAnsi="Century Gothic" w:cs="Times New Roman"/>
                <w:b/>
                <w:bCs/>
              </w:rPr>
              <w:t>KAGBELEN</w:t>
            </w:r>
            <w:r w:rsidRPr="00FC1720">
              <w:rPr>
                <w:rFonts w:ascii="Century Gothic" w:eastAsia="Calibri" w:hAnsi="Century Gothic" w:cs="Times New Roman"/>
              </w:rPr>
              <w:t xml:space="preserve"> :</w:t>
            </w:r>
            <w:r w:rsidRPr="00FC1720">
              <w:rPr>
                <w:rFonts w:ascii="Century Gothic" w:eastAsia="Calibri" w:hAnsi="Century Gothic" w:cs="Times New Roman"/>
              </w:rPr>
              <w:br/>
              <w:t xml:space="preserve">   - Réservoir : </w:t>
            </w:r>
            <w:r w:rsidRPr="00FC1720">
              <w:rPr>
                <w:rFonts w:ascii="Century Gothic" w:eastAsia="Calibri" w:hAnsi="Century Gothic" w:cs="Times New Roman"/>
                <w:b/>
                <w:bCs/>
              </w:rPr>
              <w:t>7 500 m3</w:t>
            </w:r>
            <w:r w:rsidRPr="00FC1720">
              <w:rPr>
                <w:rFonts w:ascii="Century Gothic" w:eastAsia="Calibri" w:hAnsi="Century Gothic" w:cs="Times New Roman"/>
              </w:rPr>
              <w:br/>
              <w:t xml:space="preserve">   - Réseau de distribution : </w:t>
            </w:r>
            <w:r w:rsidRPr="00FC1720">
              <w:rPr>
                <w:rFonts w:ascii="Century Gothic" w:eastAsia="Calibri" w:hAnsi="Century Gothic" w:cs="Times New Roman"/>
                <w:b/>
                <w:bCs/>
              </w:rPr>
              <w:t>49.3 km</w:t>
            </w:r>
            <w:r w:rsidRPr="00FC1720">
              <w:rPr>
                <w:rFonts w:ascii="Century Gothic" w:eastAsia="Calibri" w:hAnsi="Century Gothic" w:cs="Times New Roman"/>
              </w:rPr>
              <w:br/>
              <w:t xml:space="preserve">   - </w:t>
            </w:r>
            <w:r w:rsidRPr="00FC1720">
              <w:rPr>
                <w:rFonts w:ascii="Century Gothic" w:eastAsia="Calibri" w:hAnsi="Century Gothic" w:cs="Times New Roman"/>
                <w:b/>
                <w:bCs/>
              </w:rPr>
              <w:t>5 400 Branchements</w:t>
            </w:r>
            <w:r w:rsidRPr="00FC1720">
              <w:rPr>
                <w:rFonts w:ascii="Century Gothic" w:eastAsia="Calibri" w:hAnsi="Century Gothic" w:cs="Times New Roman"/>
              </w:rPr>
              <w:br/>
              <w:t xml:space="preserve">* </w:t>
            </w:r>
            <w:r w:rsidRPr="00FC1720">
              <w:rPr>
                <w:rFonts w:ascii="Century Gothic" w:eastAsia="Calibri" w:hAnsi="Century Gothic" w:cs="Times New Roman"/>
                <w:b/>
                <w:bCs/>
              </w:rPr>
              <w:t>MANEAH</w:t>
            </w:r>
            <w:r w:rsidRPr="00FC1720">
              <w:rPr>
                <w:rFonts w:ascii="Century Gothic" w:eastAsia="Calibri" w:hAnsi="Century Gothic" w:cs="Times New Roman"/>
              </w:rPr>
              <w:t xml:space="preserve"> :</w:t>
            </w:r>
            <w:r w:rsidRPr="00FC1720">
              <w:rPr>
                <w:rFonts w:ascii="Century Gothic" w:eastAsia="Calibri" w:hAnsi="Century Gothic" w:cs="Times New Roman"/>
              </w:rPr>
              <w:br/>
              <w:t xml:space="preserve">   - Réseau de distribution : </w:t>
            </w:r>
            <w:r w:rsidRPr="00FC1720">
              <w:rPr>
                <w:rFonts w:ascii="Century Gothic" w:eastAsia="Calibri" w:hAnsi="Century Gothic" w:cs="Times New Roman"/>
                <w:b/>
                <w:bCs/>
              </w:rPr>
              <w:t>49 km</w:t>
            </w:r>
            <w:r w:rsidRPr="00FC1720">
              <w:rPr>
                <w:rFonts w:ascii="Century Gothic" w:eastAsia="Calibri" w:hAnsi="Century Gothic" w:cs="Times New Roman"/>
              </w:rPr>
              <w:br/>
              <w:t xml:space="preserve">   - </w:t>
            </w:r>
            <w:r w:rsidRPr="00FC1720">
              <w:rPr>
                <w:rFonts w:ascii="Century Gothic" w:eastAsia="Calibri" w:hAnsi="Century Gothic" w:cs="Times New Roman"/>
                <w:b/>
                <w:bCs/>
              </w:rPr>
              <w:t>3 750 Branchements</w:t>
            </w:r>
          </w:p>
        </w:tc>
        <w:tc>
          <w:tcPr>
            <w:tcW w:w="500" w:type="pct"/>
            <w:tcBorders>
              <w:top w:val="single" w:sz="4" w:space="0" w:color="auto"/>
              <w:left w:val="single" w:sz="4" w:space="0" w:color="auto"/>
              <w:bottom w:val="single" w:sz="4" w:space="0" w:color="auto"/>
              <w:right w:val="single" w:sz="4" w:space="0" w:color="auto"/>
            </w:tcBorders>
            <w:shd w:val="clear" w:color="000000" w:fill="FFFFFF"/>
          </w:tcPr>
          <w:p w14:paraId="4154371A" w14:textId="77777777" w:rsidR="00460739" w:rsidRPr="00FC1720" w:rsidRDefault="00460739" w:rsidP="00460739">
            <w:pPr>
              <w:jc w:val="center"/>
              <w:rPr>
                <w:rFonts w:ascii="Century Gothic" w:eastAsia="Calibri" w:hAnsi="Century Gothic" w:cs="Times New Roman"/>
                <w:b/>
                <w:bCs/>
              </w:rPr>
            </w:pPr>
          </w:p>
          <w:p w14:paraId="56D2CA78" w14:textId="77777777" w:rsidR="00460739" w:rsidRPr="00FC1720" w:rsidRDefault="00460739" w:rsidP="00460739">
            <w:pPr>
              <w:jc w:val="center"/>
              <w:rPr>
                <w:rFonts w:ascii="Century Gothic" w:eastAsia="Calibri" w:hAnsi="Century Gothic" w:cs="Times New Roman"/>
                <w:b/>
                <w:bCs/>
              </w:rPr>
            </w:pPr>
          </w:p>
          <w:p w14:paraId="6FAE3841" w14:textId="77777777" w:rsidR="00460739" w:rsidRPr="00FC1720" w:rsidRDefault="00460739" w:rsidP="00460739">
            <w:pPr>
              <w:jc w:val="center"/>
              <w:rPr>
                <w:rFonts w:ascii="Century Gothic" w:eastAsia="Calibri" w:hAnsi="Century Gothic" w:cs="Times New Roman"/>
                <w:b/>
                <w:bCs/>
              </w:rPr>
            </w:pPr>
          </w:p>
          <w:p w14:paraId="09B10D94" w14:textId="77777777" w:rsidR="00460739" w:rsidRPr="00FC1720" w:rsidRDefault="00460739" w:rsidP="00460739">
            <w:pPr>
              <w:jc w:val="center"/>
              <w:rPr>
                <w:rFonts w:ascii="Century Gothic" w:eastAsia="Calibri" w:hAnsi="Century Gothic" w:cs="Times New Roman"/>
                <w:b/>
                <w:bCs/>
              </w:rPr>
            </w:pPr>
          </w:p>
          <w:p w14:paraId="1D1608B2" w14:textId="686292E5" w:rsidR="00460739" w:rsidRPr="00FC1720" w:rsidRDefault="00460739" w:rsidP="00460739">
            <w:pPr>
              <w:jc w:val="center"/>
              <w:rPr>
                <w:rFonts w:ascii="Century Gothic" w:eastAsia="Calibri" w:hAnsi="Century Gothic" w:cs="Times New Roman"/>
                <w:b/>
                <w:bCs/>
                <w:lang w:val="en-US"/>
              </w:rPr>
            </w:pPr>
            <w:r w:rsidRPr="00FC1720">
              <w:rPr>
                <w:rFonts w:ascii="Century Gothic" w:eastAsia="Calibri" w:hAnsi="Century Gothic" w:cs="Times New Roman"/>
                <w:b/>
                <w:bCs/>
                <w:lang w:val="en-US"/>
              </w:rPr>
              <w:t>IDA</w:t>
            </w:r>
          </w:p>
        </w:tc>
        <w:tc>
          <w:tcPr>
            <w:tcW w:w="1450" w:type="pct"/>
            <w:tcBorders>
              <w:top w:val="single" w:sz="4" w:space="0" w:color="auto"/>
              <w:left w:val="single" w:sz="4" w:space="0" w:color="auto"/>
              <w:bottom w:val="single" w:sz="4" w:space="0" w:color="auto"/>
              <w:right w:val="single" w:sz="4" w:space="0" w:color="auto"/>
            </w:tcBorders>
            <w:shd w:val="clear" w:color="000000" w:fill="FFFFFF"/>
            <w:vAlign w:val="center"/>
          </w:tcPr>
          <w:p w14:paraId="2270FC08" w14:textId="77777777" w:rsidR="00DE20D4" w:rsidRPr="00FC1720" w:rsidRDefault="00BC1E06" w:rsidP="00DE20D4">
            <w:pPr>
              <w:pStyle w:val="Paragraphedeliste"/>
              <w:numPr>
                <w:ilvl w:val="0"/>
                <w:numId w:val="15"/>
              </w:numPr>
              <w:spacing w:line="360" w:lineRule="auto"/>
              <w:rPr>
                <w:rFonts w:ascii="Century Gothic" w:hAnsi="Century Gothic"/>
                <w:color w:val="000000"/>
                <w:sz w:val="22"/>
                <w:szCs w:val="22"/>
              </w:rPr>
            </w:pPr>
            <w:r w:rsidRPr="00FC1720">
              <w:rPr>
                <w:rFonts w:ascii="Century Gothic" w:hAnsi="Century Gothic"/>
                <w:color w:val="000000"/>
                <w:sz w:val="22"/>
                <w:szCs w:val="22"/>
              </w:rPr>
              <w:t>AOI</w:t>
            </w:r>
          </w:p>
          <w:p w14:paraId="4F59A67C" w14:textId="77777777" w:rsidR="00DE20D4" w:rsidRPr="00FC1720" w:rsidRDefault="00BC1E06" w:rsidP="00DE20D4">
            <w:pPr>
              <w:pStyle w:val="Paragraphedeliste"/>
              <w:numPr>
                <w:ilvl w:val="0"/>
                <w:numId w:val="15"/>
              </w:numPr>
              <w:spacing w:line="360" w:lineRule="auto"/>
              <w:rPr>
                <w:rFonts w:ascii="Century Gothic" w:hAnsi="Century Gothic"/>
                <w:color w:val="000000"/>
                <w:sz w:val="22"/>
                <w:szCs w:val="22"/>
              </w:rPr>
            </w:pPr>
            <w:r w:rsidRPr="00FC1720">
              <w:rPr>
                <w:rFonts w:ascii="Century Gothic" w:hAnsi="Century Gothic"/>
                <w:color w:val="000000"/>
                <w:sz w:val="22"/>
                <w:szCs w:val="22"/>
              </w:rPr>
              <w:t xml:space="preserve"> Ouvert-international</w:t>
            </w:r>
          </w:p>
          <w:p w14:paraId="4707FCA4" w14:textId="77777777" w:rsidR="00DE20D4" w:rsidRPr="00FC1720" w:rsidRDefault="00BC1E06" w:rsidP="00DE20D4">
            <w:pPr>
              <w:pStyle w:val="Paragraphedeliste"/>
              <w:numPr>
                <w:ilvl w:val="0"/>
                <w:numId w:val="15"/>
              </w:numPr>
              <w:spacing w:line="360" w:lineRule="auto"/>
              <w:jc w:val="left"/>
              <w:rPr>
                <w:rFonts w:ascii="Century Gothic" w:eastAsia="Calibri" w:hAnsi="Century Gothic"/>
                <w:sz w:val="22"/>
                <w:szCs w:val="22"/>
              </w:rPr>
            </w:pPr>
            <w:r w:rsidRPr="00FC1720">
              <w:rPr>
                <w:rFonts w:ascii="Century Gothic" w:hAnsi="Century Gothic"/>
                <w:color w:val="000000"/>
                <w:sz w:val="22"/>
                <w:szCs w:val="22"/>
              </w:rPr>
              <w:t>Evalué la plus avantageuse</w:t>
            </w:r>
            <w:r w:rsidR="00DE20D4" w:rsidRPr="00FC1720">
              <w:rPr>
                <w:rFonts w:ascii="Century Gothic" w:hAnsi="Century Gothic"/>
                <w:color w:val="000000"/>
                <w:sz w:val="22"/>
                <w:szCs w:val="22"/>
              </w:rPr>
              <w:t xml:space="preserve"> </w:t>
            </w:r>
            <w:r w:rsidRPr="00FC1720">
              <w:rPr>
                <w:rFonts w:ascii="Century Gothic" w:hAnsi="Century Gothic"/>
                <w:color w:val="000000"/>
                <w:sz w:val="22"/>
                <w:szCs w:val="22"/>
              </w:rPr>
              <w:t xml:space="preserve">(Critères </w:t>
            </w:r>
            <w:r w:rsidR="00DE20D4" w:rsidRPr="00FC1720">
              <w:rPr>
                <w:rFonts w:ascii="Century Gothic" w:hAnsi="Century Gothic"/>
                <w:color w:val="000000"/>
                <w:sz w:val="22"/>
                <w:szCs w:val="22"/>
              </w:rPr>
              <w:t>notés)</w:t>
            </w:r>
          </w:p>
          <w:p w14:paraId="715860DD" w14:textId="5B0E19FE" w:rsidR="00460739" w:rsidRPr="00FC1720" w:rsidRDefault="00BC1E06" w:rsidP="00DE20D4">
            <w:pPr>
              <w:pStyle w:val="Paragraphedeliste"/>
              <w:numPr>
                <w:ilvl w:val="0"/>
                <w:numId w:val="15"/>
              </w:numPr>
              <w:spacing w:line="360" w:lineRule="auto"/>
              <w:jc w:val="left"/>
              <w:rPr>
                <w:rFonts w:ascii="Century Gothic" w:eastAsia="Calibri" w:hAnsi="Century Gothic"/>
                <w:sz w:val="22"/>
                <w:szCs w:val="22"/>
              </w:rPr>
            </w:pPr>
            <w:r w:rsidRPr="00FC1720">
              <w:rPr>
                <w:rFonts w:ascii="Century Gothic" w:hAnsi="Century Gothic"/>
                <w:color w:val="000000"/>
                <w:sz w:val="22"/>
                <w:szCs w:val="22"/>
              </w:rPr>
              <w:t>DTPM mars 2025 (Processus à deux enveloppes sans préqualification)</w:t>
            </w:r>
          </w:p>
        </w:tc>
      </w:tr>
    </w:tbl>
    <w:p w14:paraId="3288DD5A" w14:textId="47A0998A" w:rsidR="00BE55A5" w:rsidRPr="00A028ED" w:rsidRDefault="00BE55A5">
      <w:pPr>
        <w:spacing w:after="0"/>
        <w:rPr>
          <w:rFonts w:ascii="Century Gothic" w:hAnsi="Century Gothic"/>
          <w:szCs w:val="24"/>
        </w:rPr>
        <w:sectPr w:rsidR="00BE55A5" w:rsidRPr="00A028ED" w:rsidSect="00BE55A5">
          <w:pgSz w:w="16838" w:h="11906" w:orient="landscape"/>
          <w:pgMar w:top="1418" w:right="1418" w:bottom="1418" w:left="1418" w:header="709" w:footer="709" w:gutter="0"/>
          <w:cols w:space="708"/>
          <w:docGrid w:linePitch="360"/>
        </w:sectPr>
      </w:pPr>
    </w:p>
    <w:p w14:paraId="179B1265" w14:textId="6063A691" w:rsidR="008914C3" w:rsidRPr="00E74808" w:rsidRDefault="000E1A9D" w:rsidP="00872A9D">
      <w:pPr>
        <w:spacing w:after="0"/>
        <w:jc w:val="both"/>
        <w:rPr>
          <w:rFonts w:ascii="Century Gothic" w:eastAsia="Times New Roman" w:hAnsi="Century Gothic" w:cs="Times New Roman"/>
          <w:lang w:eastAsia="fr-FR"/>
        </w:rPr>
      </w:pPr>
      <w:r w:rsidRPr="00E74808">
        <w:rPr>
          <w:rFonts w:ascii="Century Gothic" w:eastAsia="Times New Roman" w:hAnsi="Century Gothic" w:cs="Times New Roman"/>
          <w:lang w:eastAsia="fr-FR"/>
        </w:rPr>
        <w:lastRenderedPageBreak/>
        <w:t>S’agissant des aspects</w:t>
      </w:r>
      <w:r w:rsidR="00AA5C7F" w:rsidRPr="00E74808">
        <w:rPr>
          <w:rFonts w:ascii="Century Gothic" w:eastAsia="Times New Roman" w:hAnsi="Century Gothic" w:cs="Times New Roman"/>
          <w:lang w:eastAsia="fr-FR"/>
        </w:rPr>
        <w:t xml:space="preserve"> techniques</w:t>
      </w:r>
      <w:r w:rsidRPr="00E74808">
        <w:rPr>
          <w:rFonts w:ascii="Century Gothic" w:eastAsia="Times New Roman" w:hAnsi="Century Gothic" w:cs="Times New Roman"/>
          <w:lang w:eastAsia="fr-FR"/>
        </w:rPr>
        <w:t xml:space="preserve">, à l’issu des études de Schéma Directeur, des études d’Avant-Projet Sommaire (APS) </w:t>
      </w:r>
      <w:r w:rsidR="00CD796A" w:rsidRPr="00E74808">
        <w:rPr>
          <w:rFonts w:ascii="Century Gothic" w:eastAsia="Times New Roman" w:hAnsi="Century Gothic" w:cs="Times New Roman"/>
          <w:lang w:eastAsia="fr-FR"/>
        </w:rPr>
        <w:t xml:space="preserve">et d’Avant-Projet Détaillé (APD) </w:t>
      </w:r>
      <w:r w:rsidRPr="00E74808">
        <w:rPr>
          <w:rFonts w:ascii="Century Gothic" w:eastAsia="Times New Roman" w:hAnsi="Century Gothic" w:cs="Times New Roman"/>
          <w:lang w:eastAsia="fr-FR"/>
        </w:rPr>
        <w:t>ont été réalisées</w:t>
      </w:r>
      <w:r w:rsidR="00EF3A9F" w:rsidRPr="00E74808">
        <w:rPr>
          <w:rFonts w:ascii="Century Gothic" w:eastAsia="Times New Roman" w:hAnsi="Century Gothic" w:cs="Times New Roman"/>
          <w:lang w:eastAsia="fr-FR"/>
        </w:rPr>
        <w:t xml:space="preserve"> sur la tranche 1</w:t>
      </w:r>
      <w:r w:rsidR="009F362F" w:rsidRPr="00E74808">
        <w:rPr>
          <w:rFonts w:ascii="Century Gothic" w:eastAsia="Times New Roman" w:hAnsi="Century Gothic" w:cs="Times New Roman"/>
          <w:lang w:eastAsia="fr-FR"/>
        </w:rPr>
        <w:t>. Ce</w:t>
      </w:r>
      <w:r w:rsidR="00CD796A" w:rsidRPr="00E74808">
        <w:rPr>
          <w:rFonts w:ascii="Century Gothic" w:eastAsia="Times New Roman" w:hAnsi="Century Gothic" w:cs="Times New Roman"/>
          <w:lang w:eastAsia="fr-FR"/>
        </w:rPr>
        <w:t>s</w:t>
      </w:r>
      <w:r w:rsidR="009F362F" w:rsidRPr="00E74808">
        <w:rPr>
          <w:rFonts w:ascii="Century Gothic" w:eastAsia="Times New Roman" w:hAnsi="Century Gothic" w:cs="Times New Roman"/>
          <w:lang w:eastAsia="fr-FR"/>
        </w:rPr>
        <w:t xml:space="preserve"> document</w:t>
      </w:r>
      <w:r w:rsidR="00CD796A" w:rsidRPr="00E74808">
        <w:rPr>
          <w:rFonts w:ascii="Century Gothic" w:eastAsia="Times New Roman" w:hAnsi="Century Gothic" w:cs="Times New Roman"/>
          <w:lang w:eastAsia="fr-FR"/>
        </w:rPr>
        <w:t>s</w:t>
      </w:r>
      <w:r w:rsidR="009F362F" w:rsidRPr="00E74808">
        <w:rPr>
          <w:rFonts w:ascii="Century Gothic" w:eastAsia="Times New Roman" w:hAnsi="Century Gothic" w:cs="Times New Roman"/>
          <w:lang w:eastAsia="fr-FR"/>
        </w:rPr>
        <w:t xml:space="preserve"> ser</w:t>
      </w:r>
      <w:r w:rsidR="00CD796A" w:rsidRPr="00E74808">
        <w:rPr>
          <w:rFonts w:ascii="Century Gothic" w:eastAsia="Times New Roman" w:hAnsi="Century Gothic" w:cs="Times New Roman"/>
          <w:lang w:eastAsia="fr-FR"/>
        </w:rPr>
        <w:t>ont</w:t>
      </w:r>
      <w:r w:rsidR="009F362F" w:rsidRPr="00E74808">
        <w:rPr>
          <w:rFonts w:ascii="Century Gothic" w:eastAsia="Times New Roman" w:hAnsi="Century Gothic" w:cs="Times New Roman"/>
          <w:lang w:eastAsia="fr-FR"/>
        </w:rPr>
        <w:t xml:space="preserve"> inséré</w:t>
      </w:r>
      <w:r w:rsidR="00CD796A" w:rsidRPr="00E74808">
        <w:rPr>
          <w:rFonts w:ascii="Century Gothic" w:eastAsia="Times New Roman" w:hAnsi="Century Gothic" w:cs="Times New Roman"/>
          <w:lang w:eastAsia="fr-FR"/>
        </w:rPr>
        <w:t>s</w:t>
      </w:r>
      <w:r w:rsidR="009F362F" w:rsidRPr="00E74808">
        <w:rPr>
          <w:rFonts w:ascii="Century Gothic" w:eastAsia="Times New Roman" w:hAnsi="Century Gothic" w:cs="Times New Roman"/>
          <w:lang w:eastAsia="fr-FR"/>
        </w:rPr>
        <w:t xml:space="preserve"> dans le DAO.</w:t>
      </w:r>
    </w:p>
    <w:p w14:paraId="7E94E992" w14:textId="228005FF" w:rsidR="00780A9D" w:rsidRPr="00E74808" w:rsidRDefault="002E25B4" w:rsidP="009F362F">
      <w:pPr>
        <w:spacing w:before="120" w:after="120"/>
        <w:jc w:val="both"/>
        <w:rPr>
          <w:rFonts w:ascii="Century Gothic" w:eastAsia="Times New Roman" w:hAnsi="Century Gothic" w:cs="Times New Roman"/>
          <w:lang w:eastAsia="fr-FR"/>
        </w:rPr>
      </w:pPr>
      <w:r w:rsidRPr="00E74808">
        <w:rPr>
          <w:rFonts w:ascii="Century Gothic" w:eastAsia="Times New Roman" w:hAnsi="Century Gothic" w:cs="Times New Roman"/>
          <w:lang w:eastAsia="fr-FR"/>
        </w:rPr>
        <w:t xml:space="preserve">Des études d’impact environnemental et social ont été également réalisées </w:t>
      </w:r>
      <w:r w:rsidR="00A12842" w:rsidRPr="00E74808">
        <w:rPr>
          <w:rFonts w:ascii="Century Gothic" w:eastAsia="Times New Roman" w:hAnsi="Century Gothic" w:cs="Times New Roman"/>
          <w:lang w:eastAsia="fr-FR"/>
        </w:rPr>
        <w:t xml:space="preserve">et </w:t>
      </w:r>
      <w:r w:rsidR="009F362F" w:rsidRPr="00E74808">
        <w:rPr>
          <w:rFonts w:ascii="Century Gothic" w:eastAsia="Times New Roman" w:hAnsi="Century Gothic" w:cs="Times New Roman"/>
          <w:lang w:eastAsia="fr-FR"/>
        </w:rPr>
        <w:t>le</w:t>
      </w:r>
      <w:r w:rsidRPr="00E74808">
        <w:rPr>
          <w:rFonts w:ascii="Century Gothic" w:eastAsia="Times New Roman" w:hAnsi="Century Gothic" w:cs="Times New Roman"/>
          <w:lang w:eastAsia="fr-FR"/>
        </w:rPr>
        <w:t xml:space="preserve"> PGES ser</w:t>
      </w:r>
      <w:r w:rsidR="009F362F" w:rsidRPr="00E74808">
        <w:rPr>
          <w:rFonts w:ascii="Century Gothic" w:eastAsia="Times New Roman" w:hAnsi="Century Gothic" w:cs="Times New Roman"/>
          <w:lang w:eastAsia="fr-FR"/>
        </w:rPr>
        <w:t>a</w:t>
      </w:r>
      <w:r w:rsidRPr="00E74808">
        <w:rPr>
          <w:rFonts w:ascii="Century Gothic" w:eastAsia="Times New Roman" w:hAnsi="Century Gothic" w:cs="Times New Roman"/>
          <w:lang w:eastAsia="fr-FR"/>
        </w:rPr>
        <w:t xml:space="preserve"> aussi inséré dans le</w:t>
      </w:r>
      <w:r w:rsidR="009F362F" w:rsidRPr="00E74808">
        <w:rPr>
          <w:rFonts w:ascii="Century Gothic" w:eastAsia="Times New Roman" w:hAnsi="Century Gothic" w:cs="Times New Roman"/>
          <w:lang w:eastAsia="fr-FR"/>
        </w:rPr>
        <w:t xml:space="preserve"> </w:t>
      </w:r>
      <w:r w:rsidRPr="00E74808">
        <w:rPr>
          <w:rFonts w:ascii="Century Gothic" w:eastAsia="Times New Roman" w:hAnsi="Century Gothic" w:cs="Times New Roman"/>
          <w:lang w:eastAsia="fr-FR"/>
        </w:rPr>
        <w:t xml:space="preserve">DAO </w:t>
      </w:r>
      <w:r w:rsidR="009F362F" w:rsidRPr="00E74808">
        <w:rPr>
          <w:rFonts w:ascii="Century Gothic" w:eastAsia="Times New Roman" w:hAnsi="Century Gothic" w:cs="Times New Roman"/>
          <w:lang w:eastAsia="fr-FR"/>
        </w:rPr>
        <w:t xml:space="preserve">des </w:t>
      </w:r>
      <w:r w:rsidRPr="00E74808">
        <w:rPr>
          <w:rFonts w:ascii="Century Gothic" w:eastAsia="Times New Roman" w:hAnsi="Century Gothic" w:cs="Times New Roman"/>
          <w:lang w:eastAsia="fr-FR"/>
        </w:rPr>
        <w:t>travaux.</w:t>
      </w:r>
    </w:p>
    <w:p w14:paraId="3C2F5E98" w14:textId="77777777" w:rsidR="003A6FAC" w:rsidRPr="00A028ED" w:rsidRDefault="003A6FAC" w:rsidP="003A6FAC">
      <w:pPr>
        <w:spacing w:before="240" w:after="240"/>
        <w:jc w:val="both"/>
        <w:rPr>
          <w:rFonts w:ascii="Century Gothic" w:hAnsi="Century Gothic" w:cs="Times New Roman"/>
          <w:b/>
          <w:sz w:val="24"/>
          <w:szCs w:val="24"/>
        </w:rPr>
      </w:pPr>
      <w:r w:rsidRPr="00A028ED">
        <w:rPr>
          <w:rFonts w:ascii="Century Gothic" w:hAnsi="Century Gothic" w:cs="Times New Roman"/>
          <w:b/>
          <w:sz w:val="24"/>
          <w:szCs w:val="24"/>
        </w:rPr>
        <w:t xml:space="preserve">4. LES RISQUES DU PROJET </w:t>
      </w:r>
    </w:p>
    <w:p w14:paraId="3B1BB515" w14:textId="2239301E" w:rsidR="00182177" w:rsidRPr="00A028ED" w:rsidRDefault="00182177" w:rsidP="003A6FAC">
      <w:pPr>
        <w:jc w:val="both"/>
        <w:rPr>
          <w:rFonts w:ascii="Century Gothic" w:hAnsi="Century Gothic"/>
          <w:color w:val="000000"/>
        </w:rPr>
      </w:pPr>
      <w:r w:rsidRPr="00A028ED">
        <w:rPr>
          <w:rFonts w:ascii="Century Gothic" w:hAnsi="Century Gothic"/>
          <w:color w:val="000000"/>
        </w:rPr>
        <w:t>Le risque global de passation des marchés pour le Projet Eau et Assainissement de Guinée peut être défini comme le niveau de vulnérabilité du projet à des retards, irrégularités ou inefficacités dans la planification, la préparation, la mise en œuvre, la supervision ou le contrôle des activités de passation des marchés, pouvant compromettre la bonne exécution du projet et l’atteinte de ses objectifs en matière d’approvisionnement en eau potable et d’assainissement.</w:t>
      </w:r>
    </w:p>
    <w:p w14:paraId="108D73E5" w14:textId="77777777" w:rsidR="00686DDA" w:rsidRPr="00A028ED" w:rsidRDefault="00686DDA" w:rsidP="00686DDA">
      <w:pPr>
        <w:jc w:val="both"/>
        <w:rPr>
          <w:rFonts w:ascii="Century Gothic" w:hAnsi="Century Gothic"/>
          <w:color w:val="000000"/>
        </w:rPr>
      </w:pPr>
      <w:r w:rsidRPr="00A028ED">
        <w:rPr>
          <w:rFonts w:ascii="Century Gothic" w:hAnsi="Century Gothic"/>
          <w:b/>
          <w:bCs/>
          <w:color w:val="000000"/>
        </w:rPr>
        <w:t xml:space="preserve">Le niveau de risque estimé </w:t>
      </w:r>
      <w:r w:rsidRPr="00A028ED">
        <w:rPr>
          <w:rFonts w:ascii="Century Gothic" w:hAnsi="Century Gothic"/>
          <w:color w:val="000000"/>
        </w:rPr>
        <w:t xml:space="preserve">selon l’analyse des capacités institutionnelles, des précédents projets et des conditions locales, est globalement </w:t>
      </w:r>
      <w:r w:rsidRPr="00A028ED">
        <w:rPr>
          <w:rFonts w:ascii="Century Gothic" w:hAnsi="Century Gothic"/>
          <w:b/>
          <w:bCs/>
          <w:color w:val="000000"/>
        </w:rPr>
        <w:t>“élevé”</w:t>
      </w:r>
      <w:r w:rsidRPr="00A028ED">
        <w:rPr>
          <w:rFonts w:ascii="Century Gothic" w:hAnsi="Century Gothic"/>
          <w:color w:val="000000"/>
        </w:rPr>
        <w:t>, nécessitant un suivi étroit, des mesures de mitigation et un plan de renforcement des capacités.</w:t>
      </w:r>
    </w:p>
    <w:p w14:paraId="53708866" w14:textId="76E09D4B" w:rsidR="003A6FAC" w:rsidRPr="00A028ED" w:rsidRDefault="00A12842" w:rsidP="003A6FAC">
      <w:pPr>
        <w:jc w:val="both"/>
        <w:rPr>
          <w:rFonts w:ascii="Century Gothic" w:eastAsia="Times New Roman" w:hAnsi="Century Gothic" w:cs="Times New Roman"/>
          <w:sz w:val="24"/>
          <w:szCs w:val="24"/>
          <w:lang w:eastAsia="fr-FR"/>
        </w:rPr>
      </w:pPr>
      <w:r>
        <w:rPr>
          <w:rFonts w:ascii="Century Gothic" w:hAnsi="Century Gothic"/>
          <w:color w:val="000000"/>
        </w:rPr>
        <w:t>L</w:t>
      </w:r>
      <w:r w:rsidR="003A6FAC" w:rsidRPr="00A028ED">
        <w:rPr>
          <w:rFonts w:ascii="Century Gothic" w:hAnsi="Century Gothic"/>
          <w:color w:val="000000"/>
        </w:rPr>
        <w:t>es risques identifiés et les mesures d’atténuation proposées se présentent comme suit :</w:t>
      </w:r>
    </w:p>
    <w:p w14:paraId="737C3F5F" w14:textId="77777777" w:rsidR="003A6FAC" w:rsidRPr="00A028ED" w:rsidRDefault="003A6FAC" w:rsidP="00872A9D">
      <w:pPr>
        <w:spacing w:before="240" w:after="240"/>
        <w:jc w:val="both"/>
        <w:rPr>
          <w:rFonts w:ascii="Century Gothic" w:hAnsi="Century Gothic" w:cs="Times New Roman"/>
          <w:b/>
          <w:sz w:val="24"/>
          <w:szCs w:val="24"/>
        </w:rPr>
      </w:pPr>
    </w:p>
    <w:p w14:paraId="69D77B48" w14:textId="23F47013" w:rsidR="00091F44" w:rsidRPr="00A028ED" w:rsidRDefault="00091F44" w:rsidP="00872A9D">
      <w:pPr>
        <w:spacing w:before="240" w:after="240"/>
        <w:jc w:val="both"/>
        <w:rPr>
          <w:rFonts w:ascii="Century Gothic" w:hAnsi="Century Gothic" w:cs="Times New Roman"/>
          <w:b/>
          <w:sz w:val="24"/>
          <w:szCs w:val="24"/>
        </w:rPr>
        <w:sectPr w:rsidR="00091F44" w:rsidRPr="00A028ED">
          <w:pgSz w:w="11906" w:h="16838"/>
          <w:pgMar w:top="1417" w:right="1417" w:bottom="1417" w:left="1417" w:header="708" w:footer="708" w:gutter="0"/>
          <w:cols w:space="708"/>
          <w:docGrid w:linePitch="360"/>
        </w:sectPr>
      </w:pPr>
    </w:p>
    <w:tbl>
      <w:tblPr>
        <w:tblpPr w:leftFromText="141" w:rightFromText="141" w:vertAnchor="page" w:horzAnchor="page" w:tblpX="1957" w:tblpY="1457"/>
        <w:tblW w:w="128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551"/>
        <w:gridCol w:w="5557"/>
        <w:gridCol w:w="2948"/>
      </w:tblGrid>
      <w:tr w:rsidR="00A44E04" w:rsidRPr="00A30F87" w14:paraId="7F363F49" w14:textId="77777777" w:rsidTr="00A44E04">
        <w:trPr>
          <w:trHeight w:val="269"/>
          <w:tblHeader/>
        </w:trPr>
        <w:tc>
          <w:tcPr>
            <w:tcW w:w="1843" w:type="dxa"/>
            <w:vAlign w:val="center"/>
          </w:tcPr>
          <w:p w14:paraId="3D4F8629" w14:textId="77777777" w:rsidR="00A44E04" w:rsidRPr="00EF0BF7" w:rsidRDefault="00A44E04" w:rsidP="00A44E04">
            <w:pPr>
              <w:jc w:val="center"/>
              <w:rPr>
                <w:rFonts w:cstheme="minorHAnsi"/>
                <w:b/>
                <w:color w:val="000000"/>
                <w:sz w:val="19"/>
                <w:szCs w:val="19"/>
              </w:rPr>
            </w:pPr>
            <w:r w:rsidRPr="00EF0BF7">
              <w:rPr>
                <w:rFonts w:cstheme="minorHAnsi"/>
                <w:b/>
                <w:color w:val="000000"/>
                <w:sz w:val="19"/>
                <w:szCs w:val="19"/>
              </w:rPr>
              <w:lastRenderedPageBreak/>
              <w:t>Description</w:t>
            </w:r>
          </w:p>
        </w:tc>
        <w:tc>
          <w:tcPr>
            <w:tcW w:w="2551" w:type="dxa"/>
            <w:shd w:val="clear" w:color="auto" w:fill="F2F2F2"/>
            <w:vAlign w:val="center"/>
          </w:tcPr>
          <w:p w14:paraId="2EDAA265" w14:textId="77777777" w:rsidR="00A44E04" w:rsidRPr="00EF0BF7" w:rsidRDefault="00A44E04" w:rsidP="00A44E04">
            <w:pPr>
              <w:jc w:val="center"/>
              <w:rPr>
                <w:rFonts w:cstheme="minorHAnsi"/>
                <w:b/>
                <w:color w:val="000000"/>
                <w:sz w:val="19"/>
                <w:szCs w:val="19"/>
              </w:rPr>
            </w:pPr>
            <w:r w:rsidRPr="00EF0BF7">
              <w:rPr>
                <w:rFonts w:cstheme="minorHAnsi"/>
                <w:b/>
                <w:color w:val="000000"/>
                <w:sz w:val="19"/>
                <w:szCs w:val="19"/>
              </w:rPr>
              <w:t>Risques identifiés</w:t>
            </w:r>
          </w:p>
        </w:tc>
        <w:tc>
          <w:tcPr>
            <w:tcW w:w="5557" w:type="dxa"/>
            <w:shd w:val="clear" w:color="auto" w:fill="F2F2F2"/>
            <w:vAlign w:val="center"/>
          </w:tcPr>
          <w:p w14:paraId="1494CBD2" w14:textId="77777777" w:rsidR="00A44E04" w:rsidRPr="00EF0BF7" w:rsidRDefault="00A44E04" w:rsidP="00A44E04">
            <w:pPr>
              <w:jc w:val="center"/>
              <w:rPr>
                <w:rFonts w:cstheme="minorHAnsi"/>
                <w:b/>
                <w:color w:val="000000"/>
                <w:sz w:val="19"/>
                <w:szCs w:val="19"/>
              </w:rPr>
            </w:pPr>
            <w:r w:rsidRPr="00EF0BF7">
              <w:rPr>
                <w:rFonts w:cstheme="minorHAnsi"/>
                <w:b/>
                <w:color w:val="000000"/>
                <w:sz w:val="19"/>
                <w:szCs w:val="19"/>
              </w:rPr>
              <w:t>Mesures d’atténuation Proposées</w:t>
            </w:r>
          </w:p>
        </w:tc>
        <w:tc>
          <w:tcPr>
            <w:tcW w:w="2948" w:type="dxa"/>
            <w:shd w:val="clear" w:color="auto" w:fill="F2F2F2"/>
            <w:vAlign w:val="center"/>
          </w:tcPr>
          <w:p w14:paraId="2B5BE393" w14:textId="77777777" w:rsidR="00A44E04" w:rsidRPr="00EF0BF7" w:rsidRDefault="00A44E04" w:rsidP="00A44E04">
            <w:pPr>
              <w:jc w:val="center"/>
              <w:rPr>
                <w:rFonts w:cstheme="minorHAnsi"/>
                <w:b/>
                <w:color w:val="000000"/>
                <w:sz w:val="19"/>
                <w:szCs w:val="19"/>
              </w:rPr>
            </w:pPr>
            <w:r w:rsidRPr="00EF0BF7">
              <w:rPr>
                <w:rFonts w:cstheme="minorHAnsi"/>
                <w:b/>
                <w:color w:val="000000"/>
                <w:sz w:val="19"/>
                <w:szCs w:val="19"/>
              </w:rPr>
              <w:t>Éléments de passation sur lesquels l’accent doit être mis</w:t>
            </w:r>
          </w:p>
        </w:tc>
      </w:tr>
      <w:tr w:rsidR="00A44E04" w:rsidRPr="00EF0BF7" w14:paraId="6908E09A" w14:textId="77777777" w:rsidTr="00A44E04">
        <w:trPr>
          <w:trHeight w:val="1119"/>
        </w:trPr>
        <w:tc>
          <w:tcPr>
            <w:tcW w:w="1843" w:type="dxa"/>
            <w:vMerge w:val="restart"/>
            <w:vAlign w:val="center"/>
          </w:tcPr>
          <w:p w14:paraId="5F26DF42" w14:textId="77777777" w:rsidR="00A44E04" w:rsidRPr="00EF0BF7" w:rsidRDefault="00A44E04" w:rsidP="00A44E04">
            <w:pPr>
              <w:rPr>
                <w:rFonts w:cstheme="minorHAnsi"/>
                <w:b/>
                <w:bCs/>
                <w:color w:val="000000"/>
                <w:sz w:val="18"/>
                <w:szCs w:val="18"/>
              </w:rPr>
            </w:pPr>
            <w:r w:rsidRPr="00EF0BF7">
              <w:rPr>
                <w:rFonts w:cstheme="minorHAnsi"/>
                <w:b/>
                <w:bCs/>
                <w:color w:val="000000"/>
                <w:sz w:val="18"/>
                <w:szCs w:val="18"/>
              </w:rPr>
              <w:t>Travaux de construction des réservoirs de Kagbelen et de Kouria y compris les réseaux de distribution associés et celui de Manéah</w:t>
            </w:r>
          </w:p>
          <w:p w14:paraId="714FDE09" w14:textId="77777777" w:rsidR="00A44E04" w:rsidRPr="00EF0BF7" w:rsidRDefault="00A44E04" w:rsidP="00A44E04">
            <w:pPr>
              <w:rPr>
                <w:rFonts w:cstheme="minorHAnsi"/>
                <w:color w:val="000000"/>
                <w:sz w:val="18"/>
                <w:szCs w:val="18"/>
              </w:rPr>
            </w:pPr>
          </w:p>
        </w:tc>
        <w:tc>
          <w:tcPr>
            <w:tcW w:w="2551" w:type="dxa"/>
            <w:vAlign w:val="center"/>
          </w:tcPr>
          <w:p w14:paraId="2005F12A" w14:textId="77777777" w:rsidR="00A44E04" w:rsidRPr="00EF0BF7" w:rsidRDefault="00A44E04" w:rsidP="00A44E04">
            <w:pPr>
              <w:rPr>
                <w:rFonts w:cstheme="minorHAnsi"/>
                <w:color w:val="000000"/>
                <w:sz w:val="18"/>
                <w:szCs w:val="18"/>
              </w:rPr>
            </w:pPr>
            <w:r w:rsidRPr="00EF0BF7">
              <w:rPr>
                <w:rFonts w:cstheme="minorHAnsi"/>
                <w:color w:val="000000"/>
                <w:sz w:val="18"/>
                <w:szCs w:val="18"/>
              </w:rPr>
              <w:t>Estimation approximative des coûts</w:t>
            </w:r>
          </w:p>
        </w:tc>
        <w:tc>
          <w:tcPr>
            <w:tcW w:w="5557" w:type="dxa"/>
            <w:vMerge w:val="restart"/>
            <w:vAlign w:val="center"/>
          </w:tcPr>
          <w:p w14:paraId="1F018F55" w14:textId="77777777" w:rsidR="00A44E04" w:rsidRPr="00EF0BF7" w:rsidRDefault="00A44E04" w:rsidP="00A44E04">
            <w:pPr>
              <w:pStyle w:val="Paragraphedeliste"/>
              <w:numPr>
                <w:ilvl w:val="0"/>
                <w:numId w:val="13"/>
              </w:numPr>
              <w:spacing w:after="0"/>
              <w:ind w:left="357" w:hanging="357"/>
              <w:rPr>
                <w:rFonts w:asciiTheme="minorHAnsi" w:hAnsiTheme="minorHAnsi" w:cstheme="minorHAnsi"/>
                <w:color w:val="000000"/>
                <w:sz w:val="18"/>
                <w:szCs w:val="18"/>
              </w:rPr>
            </w:pPr>
            <w:r w:rsidRPr="00EF0BF7">
              <w:rPr>
                <w:rFonts w:asciiTheme="minorHAnsi" w:hAnsiTheme="minorHAnsi" w:cstheme="minorHAnsi"/>
                <w:color w:val="000000"/>
                <w:sz w:val="18"/>
                <w:szCs w:val="18"/>
              </w:rPr>
              <w:t>S’assurer du caractère réaliste des prescriptions techniques des travaux avec une estimation des coûts et le contrôle des travaux</w:t>
            </w:r>
          </w:p>
          <w:p w14:paraId="19E476C4" w14:textId="77777777" w:rsidR="00A44E04" w:rsidRPr="00EF0BF7" w:rsidRDefault="00A44E04" w:rsidP="00A44E04">
            <w:pPr>
              <w:pStyle w:val="Paragraphedeliste"/>
              <w:numPr>
                <w:ilvl w:val="0"/>
                <w:numId w:val="13"/>
              </w:numPr>
              <w:spacing w:after="0"/>
              <w:rPr>
                <w:rFonts w:asciiTheme="minorHAnsi" w:hAnsiTheme="minorHAnsi" w:cstheme="minorHAnsi"/>
                <w:color w:val="000000"/>
                <w:sz w:val="18"/>
                <w:szCs w:val="18"/>
              </w:rPr>
            </w:pPr>
            <w:r w:rsidRPr="00EF0BF7">
              <w:rPr>
                <w:rFonts w:asciiTheme="minorHAnsi" w:hAnsiTheme="minorHAnsi" w:cstheme="minorHAnsi"/>
                <w:color w:val="000000"/>
                <w:sz w:val="18"/>
                <w:szCs w:val="18"/>
              </w:rPr>
              <w:t>Associer le spécialiste chargé des aspects environnementaux à l’élaboration des dossiers de consultation en vue de s’assurer de la prise en compte des impacts sociaux et environnementaux négatifs et le Cadre de Procédure</w:t>
            </w:r>
          </w:p>
          <w:p w14:paraId="6CACEA3C" w14:textId="77777777" w:rsidR="00A44E04" w:rsidRPr="00EF0BF7" w:rsidRDefault="00A44E04" w:rsidP="00A44E04">
            <w:pPr>
              <w:pStyle w:val="Paragraphedeliste"/>
              <w:numPr>
                <w:ilvl w:val="0"/>
                <w:numId w:val="13"/>
              </w:numPr>
              <w:spacing w:after="0"/>
              <w:rPr>
                <w:rFonts w:asciiTheme="minorHAnsi" w:hAnsiTheme="minorHAnsi" w:cstheme="minorHAnsi"/>
                <w:color w:val="000000"/>
                <w:sz w:val="18"/>
                <w:szCs w:val="18"/>
              </w:rPr>
            </w:pPr>
            <w:r w:rsidRPr="00EF0BF7">
              <w:rPr>
                <w:rFonts w:asciiTheme="minorHAnsi" w:hAnsiTheme="minorHAnsi" w:cstheme="minorHAnsi"/>
                <w:color w:val="000000"/>
                <w:sz w:val="18"/>
                <w:szCs w:val="18"/>
              </w:rPr>
              <w:t>Mettre en place un mécanisme de suivi de l’exécution des différentes phases du processus de passation de marchés</w:t>
            </w:r>
          </w:p>
          <w:p w14:paraId="40A2E001" w14:textId="77777777" w:rsidR="00A44E04" w:rsidRPr="00EF0BF7" w:rsidRDefault="00A44E04" w:rsidP="00A44E04">
            <w:pPr>
              <w:pStyle w:val="Paragraphedeliste"/>
              <w:numPr>
                <w:ilvl w:val="0"/>
                <w:numId w:val="13"/>
              </w:numPr>
              <w:spacing w:after="0"/>
              <w:rPr>
                <w:rFonts w:asciiTheme="minorHAnsi" w:hAnsiTheme="minorHAnsi" w:cstheme="minorHAnsi"/>
                <w:color w:val="000000"/>
                <w:sz w:val="18"/>
                <w:szCs w:val="18"/>
              </w:rPr>
            </w:pPr>
            <w:r w:rsidRPr="00EF0BF7">
              <w:rPr>
                <w:rFonts w:asciiTheme="minorHAnsi" w:hAnsiTheme="minorHAnsi" w:cstheme="minorHAnsi"/>
                <w:color w:val="000000"/>
                <w:sz w:val="18"/>
                <w:szCs w:val="18"/>
              </w:rPr>
              <w:t>Sensibiliser les acteurs, les organes et autorités impliqués dans le processus de passation de marchés au respect des délais réglementaires du Code des Marchés en vigueur</w:t>
            </w:r>
          </w:p>
          <w:p w14:paraId="437868E5" w14:textId="77777777" w:rsidR="00A44E04" w:rsidRPr="00EF0BF7" w:rsidRDefault="00A44E04" w:rsidP="00A44E04">
            <w:pPr>
              <w:pStyle w:val="Paragraphedeliste"/>
              <w:numPr>
                <w:ilvl w:val="0"/>
                <w:numId w:val="13"/>
              </w:numPr>
              <w:spacing w:after="0"/>
              <w:rPr>
                <w:rFonts w:asciiTheme="minorHAnsi" w:hAnsiTheme="minorHAnsi" w:cstheme="minorHAnsi"/>
                <w:color w:val="000000"/>
                <w:sz w:val="18"/>
                <w:szCs w:val="18"/>
              </w:rPr>
            </w:pPr>
            <w:r w:rsidRPr="00EF0BF7">
              <w:rPr>
                <w:rFonts w:asciiTheme="minorHAnsi" w:hAnsiTheme="minorHAnsi" w:cstheme="minorHAnsi"/>
                <w:color w:val="000000"/>
                <w:sz w:val="18"/>
                <w:szCs w:val="18"/>
              </w:rPr>
              <w:t>Mettre en place un mécanisme de suivi de l’exécution des travaux</w:t>
            </w:r>
          </w:p>
          <w:p w14:paraId="7D5CED8F" w14:textId="77777777" w:rsidR="00A44E04" w:rsidRPr="00EF0BF7" w:rsidRDefault="00A44E04" w:rsidP="00A44E04">
            <w:pPr>
              <w:pStyle w:val="Paragraphedeliste"/>
              <w:numPr>
                <w:ilvl w:val="0"/>
                <w:numId w:val="13"/>
              </w:numPr>
              <w:spacing w:after="0"/>
              <w:rPr>
                <w:rFonts w:asciiTheme="minorHAnsi" w:hAnsiTheme="minorHAnsi" w:cstheme="minorHAnsi"/>
                <w:color w:val="000000"/>
                <w:sz w:val="18"/>
                <w:szCs w:val="18"/>
              </w:rPr>
            </w:pPr>
            <w:r w:rsidRPr="00EF0BF7">
              <w:rPr>
                <w:rFonts w:asciiTheme="minorHAnsi" w:hAnsiTheme="minorHAnsi" w:cstheme="minorHAnsi"/>
                <w:color w:val="000000"/>
                <w:sz w:val="18"/>
                <w:szCs w:val="18"/>
              </w:rPr>
              <w:t>Prévoir et appliquer des pénalités de retard</w:t>
            </w:r>
          </w:p>
        </w:tc>
        <w:tc>
          <w:tcPr>
            <w:tcW w:w="2948" w:type="dxa"/>
            <w:vMerge w:val="restart"/>
          </w:tcPr>
          <w:p w14:paraId="71127504" w14:textId="77777777" w:rsidR="00A44E04" w:rsidRPr="00715931" w:rsidRDefault="00A44E04" w:rsidP="00A44E04">
            <w:pPr>
              <w:jc w:val="both"/>
              <w:rPr>
                <w:rFonts w:cstheme="minorHAnsi"/>
                <w:color w:val="000000"/>
                <w:sz w:val="18"/>
                <w:szCs w:val="18"/>
              </w:rPr>
            </w:pPr>
          </w:p>
          <w:p w14:paraId="6C201436" w14:textId="77777777" w:rsidR="00A44E04" w:rsidRPr="00715931" w:rsidRDefault="00A44E04" w:rsidP="00A44E04">
            <w:pPr>
              <w:rPr>
                <w:rFonts w:cstheme="minorHAnsi"/>
                <w:color w:val="000000"/>
                <w:sz w:val="18"/>
                <w:szCs w:val="18"/>
              </w:rPr>
            </w:pPr>
            <w:r w:rsidRPr="00715931">
              <w:rPr>
                <w:rFonts w:cstheme="minorHAnsi"/>
                <w:color w:val="000000"/>
                <w:sz w:val="18"/>
                <w:szCs w:val="18"/>
              </w:rPr>
              <w:t>Description claire et détaillée des travaux à exécuter</w:t>
            </w:r>
          </w:p>
          <w:p w14:paraId="25B43BE7" w14:textId="77777777" w:rsidR="00A44E04" w:rsidRPr="00715931" w:rsidRDefault="00A44E04" w:rsidP="00A44E04">
            <w:pPr>
              <w:rPr>
                <w:rFonts w:cstheme="minorHAnsi"/>
                <w:color w:val="000000"/>
                <w:sz w:val="18"/>
                <w:szCs w:val="18"/>
              </w:rPr>
            </w:pPr>
          </w:p>
          <w:p w14:paraId="0E6AD022" w14:textId="77777777" w:rsidR="00A44E04" w:rsidRPr="00715931" w:rsidRDefault="00A44E04" w:rsidP="00A44E04">
            <w:pPr>
              <w:rPr>
                <w:rFonts w:cstheme="minorHAnsi"/>
                <w:color w:val="000000"/>
                <w:sz w:val="18"/>
                <w:szCs w:val="18"/>
              </w:rPr>
            </w:pPr>
            <w:r w:rsidRPr="00715931">
              <w:rPr>
                <w:rFonts w:cstheme="minorHAnsi"/>
                <w:color w:val="000000"/>
                <w:sz w:val="18"/>
                <w:szCs w:val="18"/>
              </w:rPr>
              <w:t>Critères de qualification relatifs à la capacité financière et l’expérience des soumissionnaires</w:t>
            </w:r>
          </w:p>
          <w:p w14:paraId="32BF5935" w14:textId="77777777" w:rsidR="00A44E04" w:rsidRPr="00715931" w:rsidRDefault="00A44E04" w:rsidP="00A44E04">
            <w:pPr>
              <w:rPr>
                <w:rFonts w:cstheme="minorHAnsi"/>
                <w:color w:val="000000"/>
                <w:sz w:val="18"/>
                <w:szCs w:val="18"/>
              </w:rPr>
            </w:pPr>
          </w:p>
          <w:p w14:paraId="71CE0A36" w14:textId="77777777" w:rsidR="00A44E04" w:rsidRPr="00715931" w:rsidRDefault="00A44E04" w:rsidP="00A44E04">
            <w:pPr>
              <w:rPr>
                <w:rFonts w:cstheme="minorHAnsi"/>
                <w:color w:val="000000"/>
                <w:sz w:val="18"/>
                <w:szCs w:val="18"/>
              </w:rPr>
            </w:pPr>
            <w:r w:rsidRPr="00715931">
              <w:rPr>
                <w:rFonts w:cstheme="minorHAnsi"/>
                <w:color w:val="000000"/>
                <w:sz w:val="18"/>
                <w:szCs w:val="18"/>
              </w:rPr>
              <w:t xml:space="preserve">Fixation d’un délai d’exécution réaliste </w:t>
            </w:r>
          </w:p>
          <w:p w14:paraId="086AB028" w14:textId="77777777" w:rsidR="00A44E04" w:rsidRPr="00715931" w:rsidRDefault="00A44E04" w:rsidP="00A44E04">
            <w:pPr>
              <w:rPr>
                <w:rFonts w:cstheme="minorHAnsi"/>
                <w:color w:val="000000"/>
                <w:sz w:val="18"/>
                <w:szCs w:val="18"/>
              </w:rPr>
            </w:pPr>
          </w:p>
          <w:p w14:paraId="7FF4AFCA" w14:textId="77777777" w:rsidR="00A44E04" w:rsidRPr="00715931" w:rsidRDefault="00A44E04" w:rsidP="00A44E04">
            <w:pPr>
              <w:jc w:val="both"/>
              <w:rPr>
                <w:rFonts w:cstheme="minorHAnsi"/>
                <w:color w:val="000000"/>
                <w:sz w:val="18"/>
                <w:szCs w:val="18"/>
              </w:rPr>
            </w:pPr>
            <w:r w:rsidRPr="00715931">
              <w:rPr>
                <w:rFonts w:cstheme="minorHAnsi"/>
                <w:color w:val="000000"/>
                <w:sz w:val="18"/>
                <w:szCs w:val="18"/>
              </w:rPr>
              <w:t>Conditions contractuelles adaptées au type de travaux</w:t>
            </w:r>
          </w:p>
        </w:tc>
      </w:tr>
      <w:tr w:rsidR="00A44E04" w:rsidRPr="00EF0BF7" w14:paraId="35912578" w14:textId="77777777" w:rsidTr="00A44E04">
        <w:trPr>
          <w:trHeight w:val="540"/>
        </w:trPr>
        <w:tc>
          <w:tcPr>
            <w:tcW w:w="1843" w:type="dxa"/>
            <w:vMerge/>
            <w:vAlign w:val="center"/>
          </w:tcPr>
          <w:p w14:paraId="149D567B" w14:textId="77777777" w:rsidR="00A44E04" w:rsidRPr="00F4196E" w:rsidRDefault="00A44E04" w:rsidP="00A44E04">
            <w:pPr>
              <w:rPr>
                <w:rFonts w:ascii="Century Gothic" w:hAnsi="Century Gothic"/>
                <w:color w:val="000000"/>
                <w:sz w:val="19"/>
                <w:szCs w:val="19"/>
              </w:rPr>
            </w:pPr>
          </w:p>
        </w:tc>
        <w:tc>
          <w:tcPr>
            <w:tcW w:w="2551" w:type="dxa"/>
            <w:vAlign w:val="center"/>
          </w:tcPr>
          <w:p w14:paraId="730B5AB0" w14:textId="77777777" w:rsidR="00A44E04" w:rsidRPr="00715931" w:rsidRDefault="00A44E04" w:rsidP="00A44E04">
            <w:pPr>
              <w:rPr>
                <w:rFonts w:cstheme="minorHAnsi"/>
                <w:color w:val="000000"/>
                <w:sz w:val="19"/>
                <w:szCs w:val="19"/>
              </w:rPr>
            </w:pPr>
            <w:r w:rsidRPr="00715931">
              <w:rPr>
                <w:rFonts w:cstheme="minorHAnsi"/>
                <w:color w:val="000000"/>
                <w:sz w:val="19"/>
                <w:szCs w:val="19"/>
              </w:rPr>
              <w:t>Longs délais du processus de passation du marché</w:t>
            </w:r>
          </w:p>
        </w:tc>
        <w:tc>
          <w:tcPr>
            <w:tcW w:w="5557" w:type="dxa"/>
            <w:vMerge/>
          </w:tcPr>
          <w:p w14:paraId="15A30003" w14:textId="77777777" w:rsidR="00A44E04" w:rsidRPr="00A30F87" w:rsidRDefault="00A44E04" w:rsidP="00A44E04">
            <w:pPr>
              <w:jc w:val="center"/>
              <w:rPr>
                <w:color w:val="000000"/>
                <w:sz w:val="19"/>
                <w:szCs w:val="19"/>
              </w:rPr>
            </w:pPr>
          </w:p>
        </w:tc>
        <w:tc>
          <w:tcPr>
            <w:tcW w:w="2948" w:type="dxa"/>
            <w:vMerge/>
          </w:tcPr>
          <w:p w14:paraId="29442020" w14:textId="77777777" w:rsidR="00A44E04" w:rsidRPr="00EF0BF7" w:rsidRDefault="00A44E04" w:rsidP="00A44E04">
            <w:pPr>
              <w:jc w:val="center"/>
              <w:rPr>
                <w:rFonts w:cstheme="minorHAnsi"/>
                <w:color w:val="000000"/>
                <w:sz w:val="19"/>
                <w:szCs w:val="19"/>
              </w:rPr>
            </w:pPr>
          </w:p>
        </w:tc>
      </w:tr>
      <w:tr w:rsidR="00A44E04" w:rsidRPr="00EF0BF7" w14:paraId="4F2D0F1F" w14:textId="77777777" w:rsidTr="00A44E04">
        <w:trPr>
          <w:trHeight w:val="170"/>
        </w:trPr>
        <w:tc>
          <w:tcPr>
            <w:tcW w:w="1843" w:type="dxa"/>
            <w:vMerge/>
            <w:vAlign w:val="center"/>
          </w:tcPr>
          <w:p w14:paraId="1C574F21" w14:textId="77777777" w:rsidR="00A44E04" w:rsidRPr="00F4196E" w:rsidRDefault="00A44E04" w:rsidP="00A44E04">
            <w:pPr>
              <w:rPr>
                <w:rFonts w:ascii="Century Gothic" w:hAnsi="Century Gothic"/>
                <w:color w:val="000000"/>
                <w:sz w:val="19"/>
                <w:szCs w:val="19"/>
              </w:rPr>
            </w:pPr>
          </w:p>
        </w:tc>
        <w:tc>
          <w:tcPr>
            <w:tcW w:w="2551" w:type="dxa"/>
            <w:vAlign w:val="center"/>
          </w:tcPr>
          <w:p w14:paraId="5C8352FE" w14:textId="77777777" w:rsidR="00A44E04" w:rsidRPr="00715931" w:rsidRDefault="00A44E04" w:rsidP="00A44E04">
            <w:pPr>
              <w:rPr>
                <w:rFonts w:cstheme="minorHAnsi"/>
                <w:color w:val="000000"/>
                <w:sz w:val="19"/>
                <w:szCs w:val="19"/>
              </w:rPr>
            </w:pPr>
            <w:r w:rsidRPr="00715931">
              <w:rPr>
                <w:rFonts w:cstheme="minorHAnsi"/>
                <w:color w:val="000000"/>
                <w:sz w:val="19"/>
                <w:szCs w:val="19"/>
              </w:rPr>
              <w:t>Mauvaise qualité des travaux</w:t>
            </w:r>
          </w:p>
        </w:tc>
        <w:tc>
          <w:tcPr>
            <w:tcW w:w="5557" w:type="dxa"/>
            <w:vMerge/>
          </w:tcPr>
          <w:p w14:paraId="3513C858" w14:textId="77777777" w:rsidR="00A44E04" w:rsidRPr="00A30F87" w:rsidRDefault="00A44E04" w:rsidP="00A44E04">
            <w:pPr>
              <w:jc w:val="center"/>
              <w:rPr>
                <w:color w:val="000000"/>
                <w:sz w:val="19"/>
                <w:szCs w:val="19"/>
              </w:rPr>
            </w:pPr>
          </w:p>
        </w:tc>
        <w:tc>
          <w:tcPr>
            <w:tcW w:w="2948" w:type="dxa"/>
            <w:vMerge/>
          </w:tcPr>
          <w:p w14:paraId="52F9AB4A" w14:textId="77777777" w:rsidR="00A44E04" w:rsidRPr="00EF0BF7" w:rsidRDefault="00A44E04" w:rsidP="00A44E04">
            <w:pPr>
              <w:jc w:val="center"/>
              <w:rPr>
                <w:rFonts w:cstheme="minorHAnsi"/>
                <w:color w:val="000000"/>
                <w:sz w:val="19"/>
                <w:szCs w:val="19"/>
              </w:rPr>
            </w:pPr>
          </w:p>
        </w:tc>
      </w:tr>
      <w:tr w:rsidR="00A44E04" w:rsidRPr="00EF0BF7" w14:paraId="272B4806" w14:textId="77777777" w:rsidTr="00A44E04">
        <w:trPr>
          <w:trHeight w:val="40"/>
        </w:trPr>
        <w:tc>
          <w:tcPr>
            <w:tcW w:w="1843" w:type="dxa"/>
            <w:vMerge/>
            <w:vAlign w:val="center"/>
          </w:tcPr>
          <w:p w14:paraId="0EA9FEEB" w14:textId="77777777" w:rsidR="00A44E04" w:rsidRPr="00F4196E" w:rsidRDefault="00A44E04" w:rsidP="00A44E04">
            <w:pPr>
              <w:rPr>
                <w:rFonts w:ascii="Century Gothic" w:hAnsi="Century Gothic"/>
                <w:color w:val="000000"/>
                <w:sz w:val="19"/>
                <w:szCs w:val="19"/>
              </w:rPr>
            </w:pPr>
          </w:p>
        </w:tc>
        <w:tc>
          <w:tcPr>
            <w:tcW w:w="2551" w:type="dxa"/>
            <w:vAlign w:val="center"/>
          </w:tcPr>
          <w:p w14:paraId="2AA52B01" w14:textId="77777777" w:rsidR="00A44E04" w:rsidRPr="00715931" w:rsidRDefault="00A44E04" w:rsidP="00A44E04">
            <w:pPr>
              <w:rPr>
                <w:rFonts w:cstheme="minorHAnsi"/>
                <w:color w:val="000000"/>
                <w:sz w:val="19"/>
                <w:szCs w:val="19"/>
              </w:rPr>
            </w:pPr>
            <w:r w:rsidRPr="00715931">
              <w:rPr>
                <w:rFonts w:cstheme="minorHAnsi"/>
                <w:color w:val="000000"/>
                <w:sz w:val="19"/>
                <w:szCs w:val="19"/>
              </w:rPr>
              <w:t>Retard dans l’exécution des travaux</w:t>
            </w:r>
          </w:p>
        </w:tc>
        <w:tc>
          <w:tcPr>
            <w:tcW w:w="5557" w:type="dxa"/>
            <w:vMerge/>
          </w:tcPr>
          <w:p w14:paraId="1D6F9098" w14:textId="77777777" w:rsidR="00A44E04" w:rsidRPr="00A30F87" w:rsidRDefault="00A44E04" w:rsidP="00A44E04">
            <w:pPr>
              <w:jc w:val="center"/>
              <w:rPr>
                <w:color w:val="000000"/>
                <w:sz w:val="19"/>
                <w:szCs w:val="19"/>
              </w:rPr>
            </w:pPr>
          </w:p>
        </w:tc>
        <w:tc>
          <w:tcPr>
            <w:tcW w:w="2948" w:type="dxa"/>
            <w:vMerge/>
          </w:tcPr>
          <w:p w14:paraId="5C0AD8C8" w14:textId="77777777" w:rsidR="00A44E04" w:rsidRPr="00EF0BF7" w:rsidRDefault="00A44E04" w:rsidP="00A44E04">
            <w:pPr>
              <w:jc w:val="center"/>
              <w:rPr>
                <w:rFonts w:cstheme="minorHAnsi"/>
                <w:color w:val="000000"/>
                <w:sz w:val="19"/>
                <w:szCs w:val="19"/>
              </w:rPr>
            </w:pPr>
          </w:p>
        </w:tc>
      </w:tr>
      <w:tr w:rsidR="00206291" w:rsidRPr="00EF0BF7" w14:paraId="4482A237" w14:textId="77777777" w:rsidTr="00A44E04">
        <w:trPr>
          <w:trHeight w:val="40"/>
        </w:trPr>
        <w:tc>
          <w:tcPr>
            <w:tcW w:w="1843" w:type="dxa"/>
            <w:vMerge/>
            <w:vAlign w:val="center"/>
          </w:tcPr>
          <w:p w14:paraId="2C59002E" w14:textId="77777777" w:rsidR="00206291" w:rsidRPr="00F4196E" w:rsidRDefault="00206291" w:rsidP="00A44E04">
            <w:pPr>
              <w:rPr>
                <w:rFonts w:ascii="Century Gothic" w:hAnsi="Century Gothic"/>
                <w:color w:val="000000"/>
                <w:sz w:val="19"/>
                <w:szCs w:val="19"/>
              </w:rPr>
            </w:pPr>
          </w:p>
        </w:tc>
        <w:tc>
          <w:tcPr>
            <w:tcW w:w="2551" w:type="dxa"/>
            <w:vAlign w:val="center"/>
          </w:tcPr>
          <w:p w14:paraId="6D68A333" w14:textId="15848271" w:rsidR="00206291" w:rsidRPr="00715931" w:rsidRDefault="00206291" w:rsidP="0008406D">
            <w:pPr>
              <w:jc w:val="both"/>
              <w:rPr>
                <w:rFonts w:cstheme="minorHAnsi"/>
                <w:color w:val="000000"/>
                <w:sz w:val="19"/>
                <w:szCs w:val="19"/>
              </w:rPr>
            </w:pPr>
            <w:r w:rsidRPr="00206291">
              <w:rPr>
                <w:rFonts w:cstheme="minorHAnsi"/>
                <w:color w:val="000000"/>
                <w:sz w:val="19"/>
                <w:szCs w:val="19"/>
              </w:rPr>
              <w:t>Non prise en compte des impacts négatifs sociaux et environnementaux dans la passation des marchés</w:t>
            </w:r>
          </w:p>
        </w:tc>
        <w:tc>
          <w:tcPr>
            <w:tcW w:w="5557" w:type="dxa"/>
            <w:vMerge/>
          </w:tcPr>
          <w:p w14:paraId="6249C819" w14:textId="77777777" w:rsidR="00206291" w:rsidRPr="00A30F87" w:rsidRDefault="00206291" w:rsidP="00A44E04">
            <w:pPr>
              <w:jc w:val="center"/>
              <w:rPr>
                <w:color w:val="000000"/>
                <w:sz w:val="19"/>
                <w:szCs w:val="19"/>
              </w:rPr>
            </w:pPr>
          </w:p>
        </w:tc>
        <w:tc>
          <w:tcPr>
            <w:tcW w:w="2948" w:type="dxa"/>
            <w:vMerge/>
          </w:tcPr>
          <w:p w14:paraId="438E4890" w14:textId="77777777" w:rsidR="00206291" w:rsidRPr="00EF0BF7" w:rsidRDefault="00206291" w:rsidP="00A44E04">
            <w:pPr>
              <w:jc w:val="center"/>
              <w:rPr>
                <w:rFonts w:cstheme="minorHAnsi"/>
                <w:color w:val="000000"/>
                <w:sz w:val="19"/>
                <w:szCs w:val="19"/>
              </w:rPr>
            </w:pPr>
          </w:p>
        </w:tc>
      </w:tr>
      <w:tr w:rsidR="00A44E04" w:rsidRPr="00EF0BF7" w14:paraId="774890AA" w14:textId="77777777" w:rsidTr="00A44E04">
        <w:trPr>
          <w:trHeight w:val="700"/>
        </w:trPr>
        <w:tc>
          <w:tcPr>
            <w:tcW w:w="1843" w:type="dxa"/>
            <w:vMerge/>
            <w:vAlign w:val="center"/>
          </w:tcPr>
          <w:p w14:paraId="4276E014" w14:textId="77777777" w:rsidR="00A44E04" w:rsidRPr="00F4196E" w:rsidRDefault="00A44E04" w:rsidP="00A44E04">
            <w:pPr>
              <w:rPr>
                <w:rFonts w:ascii="Century Gothic" w:hAnsi="Century Gothic"/>
                <w:color w:val="000000"/>
                <w:sz w:val="19"/>
                <w:szCs w:val="19"/>
              </w:rPr>
            </w:pPr>
          </w:p>
        </w:tc>
        <w:tc>
          <w:tcPr>
            <w:tcW w:w="2551" w:type="dxa"/>
            <w:vAlign w:val="center"/>
          </w:tcPr>
          <w:p w14:paraId="657F2732" w14:textId="77777777" w:rsidR="00A44E04" w:rsidRPr="00715931" w:rsidRDefault="00A44E04" w:rsidP="00A44E04">
            <w:pPr>
              <w:rPr>
                <w:rFonts w:cstheme="minorHAnsi"/>
                <w:color w:val="000000"/>
                <w:sz w:val="19"/>
                <w:szCs w:val="19"/>
              </w:rPr>
            </w:pPr>
            <w:r w:rsidRPr="00715931">
              <w:rPr>
                <w:rFonts w:cstheme="minorHAnsi"/>
                <w:color w:val="000000"/>
                <w:sz w:val="19"/>
                <w:szCs w:val="19"/>
              </w:rPr>
              <w:t>Description partielle ou inexacte des besoins lors de la préparation des dossiers d’appel d’offres</w:t>
            </w:r>
          </w:p>
        </w:tc>
        <w:tc>
          <w:tcPr>
            <w:tcW w:w="5557" w:type="dxa"/>
            <w:vMerge/>
            <w:vAlign w:val="center"/>
          </w:tcPr>
          <w:p w14:paraId="5A0F9163" w14:textId="77777777" w:rsidR="00A44E04" w:rsidRPr="00A30F87" w:rsidRDefault="00A44E04" w:rsidP="00A44E04">
            <w:pPr>
              <w:jc w:val="center"/>
              <w:rPr>
                <w:color w:val="000000"/>
                <w:sz w:val="19"/>
                <w:szCs w:val="19"/>
              </w:rPr>
            </w:pPr>
          </w:p>
        </w:tc>
        <w:tc>
          <w:tcPr>
            <w:tcW w:w="2948" w:type="dxa"/>
            <w:vMerge/>
            <w:vAlign w:val="center"/>
          </w:tcPr>
          <w:p w14:paraId="22497635" w14:textId="77777777" w:rsidR="00A44E04" w:rsidRPr="00EF0BF7" w:rsidRDefault="00A44E04" w:rsidP="00A44E04">
            <w:pPr>
              <w:jc w:val="center"/>
              <w:rPr>
                <w:rFonts w:cstheme="minorHAnsi"/>
                <w:color w:val="000000"/>
                <w:sz w:val="19"/>
                <w:szCs w:val="19"/>
              </w:rPr>
            </w:pPr>
          </w:p>
        </w:tc>
      </w:tr>
    </w:tbl>
    <w:p w14:paraId="06029B86" w14:textId="77777777" w:rsidR="003A6FAC" w:rsidRPr="00A028ED" w:rsidRDefault="003A6FAC" w:rsidP="00872A9D">
      <w:pPr>
        <w:jc w:val="both"/>
        <w:rPr>
          <w:rFonts w:ascii="Century Gothic" w:hAnsi="Century Gothic"/>
        </w:rPr>
      </w:pPr>
    </w:p>
    <w:p w14:paraId="6B5B6266" w14:textId="2BDADAA4" w:rsidR="003A6FAC" w:rsidRPr="00A028ED" w:rsidRDefault="003A6FAC" w:rsidP="00872A9D">
      <w:pPr>
        <w:jc w:val="both"/>
        <w:rPr>
          <w:rFonts w:ascii="Century Gothic" w:hAnsi="Century Gothic"/>
        </w:rPr>
        <w:sectPr w:rsidR="003A6FAC" w:rsidRPr="00A028ED" w:rsidSect="003A6FAC">
          <w:pgSz w:w="16838" w:h="11906" w:orient="landscape"/>
          <w:pgMar w:top="1418" w:right="1418" w:bottom="1418" w:left="1418" w:header="709" w:footer="709" w:gutter="0"/>
          <w:cols w:space="708"/>
          <w:docGrid w:linePitch="360"/>
        </w:sectPr>
      </w:pPr>
    </w:p>
    <w:p w14:paraId="37CA401A" w14:textId="77777777" w:rsidR="001968A4" w:rsidRPr="00715931" w:rsidRDefault="00A715C2" w:rsidP="00686DDA">
      <w:pPr>
        <w:jc w:val="both"/>
        <w:rPr>
          <w:rFonts w:ascii="Century Gothic" w:hAnsi="Century Gothic" w:cs="Times New Roman"/>
          <w:b/>
        </w:rPr>
      </w:pPr>
      <w:r w:rsidRPr="00A028ED">
        <w:rPr>
          <w:rFonts w:ascii="Century Gothic" w:hAnsi="Century Gothic" w:cs="Times New Roman"/>
          <w:b/>
          <w:sz w:val="24"/>
          <w:szCs w:val="24"/>
        </w:rPr>
        <w:lastRenderedPageBreak/>
        <w:t xml:space="preserve">5. </w:t>
      </w:r>
      <w:r w:rsidRPr="00715931">
        <w:rPr>
          <w:rFonts w:ascii="Century Gothic" w:hAnsi="Century Gothic" w:cs="Times New Roman"/>
          <w:b/>
        </w:rPr>
        <w:t>MODALITES DE PARTICIPATION</w:t>
      </w:r>
    </w:p>
    <w:p w14:paraId="650A01D4" w14:textId="40357B6A" w:rsidR="001968A4" w:rsidRPr="00715931" w:rsidRDefault="00A715C2" w:rsidP="00686DDA">
      <w:pPr>
        <w:jc w:val="both"/>
        <w:rPr>
          <w:rFonts w:ascii="Century Gothic" w:hAnsi="Century Gothic" w:cs="Times New Roman"/>
        </w:rPr>
      </w:pPr>
      <w:r w:rsidRPr="00715931">
        <w:rPr>
          <w:rFonts w:ascii="Century Gothic" w:hAnsi="Century Gothic" w:cs="Times New Roman"/>
        </w:rPr>
        <w:t xml:space="preserve">Les parties intéressées sont invitées à prendre part </w:t>
      </w:r>
      <w:r w:rsidR="001A2FFD" w:rsidRPr="00715931">
        <w:rPr>
          <w:rFonts w:ascii="Century Gothic" w:hAnsi="Century Gothic" w:cs="Times New Roman"/>
        </w:rPr>
        <w:t>à l’</w:t>
      </w:r>
      <w:r w:rsidRPr="00715931">
        <w:rPr>
          <w:rFonts w:ascii="Century Gothic" w:hAnsi="Century Gothic" w:cs="Times New Roman"/>
        </w:rPr>
        <w:t>activité suivante :</w:t>
      </w:r>
    </w:p>
    <w:p w14:paraId="1196FA08" w14:textId="77777777" w:rsidR="00E66A81" w:rsidRPr="00FE29E2" w:rsidRDefault="00A715C2" w:rsidP="00E66A81">
      <w:pPr>
        <w:pStyle w:val="Paragraphedeliste"/>
        <w:numPr>
          <w:ilvl w:val="0"/>
          <w:numId w:val="8"/>
        </w:numPr>
        <w:spacing w:before="120" w:after="120" w:line="278" w:lineRule="auto"/>
        <w:ind w:left="714" w:hanging="357"/>
        <w:contextualSpacing w:val="0"/>
        <w:rPr>
          <w:rFonts w:ascii="Century Gothic" w:eastAsiaTheme="minorHAnsi" w:hAnsi="Century Gothic"/>
          <w:b/>
          <w:bCs/>
          <w:sz w:val="22"/>
          <w:szCs w:val="22"/>
        </w:rPr>
      </w:pPr>
      <w:r w:rsidRPr="00FE29E2">
        <w:rPr>
          <w:rFonts w:ascii="Century Gothic" w:eastAsiaTheme="minorHAnsi" w:hAnsi="Century Gothic"/>
          <w:b/>
          <w:bCs/>
          <w:sz w:val="22"/>
          <w:szCs w:val="22"/>
          <w:lang w:eastAsia="en-US"/>
        </w:rPr>
        <w:t xml:space="preserve">Réunion de l’Engagement Précoce </w:t>
      </w:r>
      <w:r w:rsidR="00A066E7" w:rsidRPr="00FE29E2">
        <w:rPr>
          <w:rFonts w:ascii="Century Gothic" w:eastAsiaTheme="minorHAnsi" w:hAnsi="Century Gothic"/>
          <w:b/>
          <w:bCs/>
          <w:sz w:val="22"/>
          <w:szCs w:val="22"/>
          <w:lang w:eastAsia="en-US"/>
        </w:rPr>
        <w:t>du</w:t>
      </w:r>
      <w:r w:rsidRPr="00FE29E2">
        <w:rPr>
          <w:rFonts w:ascii="Century Gothic" w:eastAsiaTheme="minorHAnsi" w:hAnsi="Century Gothic"/>
          <w:b/>
          <w:bCs/>
          <w:sz w:val="22"/>
          <w:szCs w:val="22"/>
          <w:lang w:eastAsia="en-US"/>
        </w:rPr>
        <w:t xml:space="preserve"> Marché </w:t>
      </w:r>
      <w:r w:rsidR="00E66A81" w:rsidRPr="00FE29E2">
        <w:rPr>
          <w:rFonts w:ascii="Century Gothic" w:eastAsiaTheme="minorHAnsi" w:hAnsi="Century Gothic"/>
          <w:b/>
          <w:bCs/>
          <w:sz w:val="22"/>
          <w:szCs w:val="22"/>
          <w:lang w:eastAsia="en-US"/>
        </w:rPr>
        <w:t>de construction des réservoirs de Kagbelen et de Kouria y compris les réseaux de distribution associés et celui de Manéah</w:t>
      </w:r>
      <w:r w:rsidR="00686DDA" w:rsidRPr="00FE29E2">
        <w:rPr>
          <w:rFonts w:ascii="Century Gothic" w:eastAsiaTheme="minorHAnsi" w:hAnsi="Century Gothic"/>
          <w:b/>
          <w:bCs/>
          <w:sz w:val="22"/>
          <w:szCs w:val="22"/>
          <w:lang w:eastAsia="en-US"/>
        </w:rPr>
        <w:t xml:space="preserve"> ;</w:t>
      </w:r>
    </w:p>
    <w:p w14:paraId="15F7F27A" w14:textId="51E7B533" w:rsidR="001968A4" w:rsidRPr="00FE29E2" w:rsidRDefault="00A715C2" w:rsidP="00E66A81">
      <w:pPr>
        <w:pStyle w:val="Paragraphedeliste"/>
        <w:numPr>
          <w:ilvl w:val="0"/>
          <w:numId w:val="8"/>
        </w:numPr>
        <w:spacing w:before="120" w:after="120" w:line="278" w:lineRule="auto"/>
        <w:ind w:left="714" w:hanging="357"/>
        <w:contextualSpacing w:val="0"/>
        <w:rPr>
          <w:rFonts w:ascii="Century Gothic" w:eastAsiaTheme="minorHAnsi" w:hAnsi="Century Gothic"/>
          <w:b/>
          <w:bCs/>
          <w:sz w:val="22"/>
          <w:szCs w:val="22"/>
        </w:rPr>
      </w:pPr>
      <w:r w:rsidRPr="00FE29E2">
        <w:rPr>
          <w:rFonts w:ascii="Century Gothic" w:eastAsiaTheme="minorHAnsi" w:hAnsi="Century Gothic"/>
          <w:b/>
          <w:bCs/>
          <w:sz w:val="22"/>
          <w:szCs w:val="22"/>
        </w:rPr>
        <w:t xml:space="preserve">Date /heure : </w:t>
      </w:r>
      <w:r w:rsidR="00133B91" w:rsidRPr="00FE29E2">
        <w:rPr>
          <w:rFonts w:ascii="Century Gothic" w:eastAsiaTheme="minorHAnsi" w:hAnsi="Century Gothic"/>
          <w:b/>
          <w:bCs/>
          <w:sz w:val="22"/>
          <w:szCs w:val="22"/>
        </w:rPr>
        <w:t>10</w:t>
      </w:r>
      <w:r w:rsidR="00F02AA2" w:rsidRPr="00FE29E2">
        <w:rPr>
          <w:rFonts w:ascii="Century Gothic" w:eastAsiaTheme="minorHAnsi" w:hAnsi="Century Gothic"/>
          <w:b/>
          <w:bCs/>
          <w:sz w:val="22"/>
          <w:szCs w:val="22"/>
        </w:rPr>
        <w:t>/02/</w:t>
      </w:r>
      <w:r w:rsidR="00133B91" w:rsidRPr="00FE29E2">
        <w:rPr>
          <w:rFonts w:ascii="Century Gothic" w:eastAsiaTheme="minorHAnsi" w:hAnsi="Century Gothic"/>
          <w:b/>
          <w:bCs/>
          <w:sz w:val="22"/>
          <w:szCs w:val="22"/>
        </w:rPr>
        <w:t>2026</w:t>
      </w:r>
      <w:r w:rsidR="00142DAB" w:rsidRPr="00FE29E2">
        <w:rPr>
          <w:rFonts w:ascii="Century Gothic" w:eastAsiaTheme="minorHAnsi" w:hAnsi="Century Gothic"/>
          <w:b/>
          <w:bCs/>
          <w:sz w:val="22"/>
          <w:szCs w:val="22"/>
        </w:rPr>
        <w:t xml:space="preserve"> à </w:t>
      </w:r>
      <w:r w:rsidR="00E66A81" w:rsidRPr="00FE29E2">
        <w:rPr>
          <w:rFonts w:ascii="Century Gothic" w:eastAsiaTheme="minorHAnsi" w:hAnsi="Century Gothic"/>
          <w:b/>
          <w:bCs/>
          <w:sz w:val="22"/>
          <w:szCs w:val="22"/>
        </w:rPr>
        <w:t>11</w:t>
      </w:r>
      <w:r w:rsidR="00142DAB" w:rsidRPr="00FE29E2">
        <w:rPr>
          <w:rFonts w:ascii="Century Gothic" w:eastAsiaTheme="minorHAnsi" w:hAnsi="Century Gothic"/>
          <w:b/>
          <w:bCs/>
          <w:sz w:val="22"/>
          <w:szCs w:val="22"/>
        </w:rPr>
        <w:t>h00</w:t>
      </w:r>
      <w:r w:rsidR="00386FB7" w:rsidRPr="00FE29E2">
        <w:rPr>
          <w:rFonts w:ascii="Century Gothic" w:eastAsiaTheme="minorHAnsi" w:hAnsi="Century Gothic"/>
          <w:b/>
          <w:bCs/>
          <w:sz w:val="22"/>
          <w:szCs w:val="22"/>
        </w:rPr>
        <w:t xml:space="preserve"> GMT</w:t>
      </w:r>
      <w:r w:rsidR="00142DAB" w:rsidRPr="00FE29E2">
        <w:rPr>
          <w:rFonts w:ascii="Century Gothic" w:eastAsiaTheme="minorHAnsi" w:hAnsi="Century Gothic"/>
          <w:b/>
          <w:bCs/>
          <w:sz w:val="22"/>
          <w:szCs w:val="22"/>
        </w:rPr>
        <w:t> ;</w:t>
      </w:r>
    </w:p>
    <w:p w14:paraId="7EA1FC2D" w14:textId="77777777" w:rsidR="00386FB7" w:rsidRPr="00FE29E2" w:rsidRDefault="00386FB7" w:rsidP="00E66A81">
      <w:pPr>
        <w:pStyle w:val="Paragraphedeliste"/>
        <w:numPr>
          <w:ilvl w:val="0"/>
          <w:numId w:val="8"/>
        </w:numPr>
        <w:spacing w:before="120" w:after="120" w:line="278" w:lineRule="auto"/>
        <w:contextualSpacing w:val="0"/>
        <w:rPr>
          <w:rFonts w:ascii="Century Gothic" w:eastAsiaTheme="minorHAnsi" w:hAnsi="Century Gothic"/>
          <w:b/>
          <w:bCs/>
          <w:sz w:val="22"/>
          <w:szCs w:val="22"/>
          <w:lang w:eastAsia="en-US"/>
        </w:rPr>
      </w:pPr>
      <w:r w:rsidRPr="00FE29E2">
        <w:rPr>
          <w:rFonts w:ascii="Century Gothic" w:eastAsiaTheme="minorHAnsi" w:hAnsi="Century Gothic"/>
          <w:b/>
          <w:bCs/>
          <w:sz w:val="22"/>
          <w:szCs w:val="22"/>
          <w:lang w:eastAsia="en-US"/>
        </w:rPr>
        <w:t>Format Hybride (virtuel/en présentiel)</w:t>
      </w:r>
    </w:p>
    <w:p w14:paraId="641DE6EB" w14:textId="2B49B2C7" w:rsidR="001968A4" w:rsidRPr="00FE29E2" w:rsidRDefault="00A715C2" w:rsidP="00E66A81">
      <w:pPr>
        <w:pStyle w:val="Paragraphedeliste"/>
        <w:numPr>
          <w:ilvl w:val="0"/>
          <w:numId w:val="8"/>
        </w:numPr>
        <w:spacing w:before="120" w:after="120" w:line="278" w:lineRule="auto"/>
        <w:contextualSpacing w:val="0"/>
        <w:rPr>
          <w:rFonts w:ascii="Century Gothic" w:eastAsiaTheme="minorHAnsi" w:hAnsi="Century Gothic"/>
          <w:b/>
          <w:bCs/>
          <w:sz w:val="22"/>
          <w:szCs w:val="22"/>
          <w:lang w:eastAsia="en-US"/>
        </w:rPr>
      </w:pPr>
      <w:r w:rsidRPr="00FE29E2">
        <w:rPr>
          <w:rFonts w:ascii="Century Gothic" w:eastAsiaTheme="minorHAnsi" w:hAnsi="Century Gothic"/>
          <w:b/>
          <w:bCs/>
          <w:sz w:val="22"/>
          <w:szCs w:val="22"/>
          <w:lang w:eastAsia="en-US"/>
        </w:rPr>
        <w:t>Lieu :</w:t>
      </w:r>
      <w:r w:rsidR="00E66A81" w:rsidRPr="00FE29E2">
        <w:rPr>
          <w:rFonts w:ascii="Century Gothic" w:eastAsiaTheme="minorHAnsi" w:hAnsi="Century Gothic"/>
          <w:b/>
          <w:bCs/>
          <w:sz w:val="22"/>
          <w:szCs w:val="22"/>
          <w:lang w:eastAsia="en-US"/>
        </w:rPr>
        <w:t xml:space="preserve"> </w:t>
      </w:r>
      <w:r w:rsidR="00D3362A" w:rsidRPr="00FE29E2">
        <w:rPr>
          <w:rFonts w:ascii="Century Gothic" w:eastAsiaTheme="minorHAnsi" w:hAnsi="Century Gothic"/>
          <w:b/>
          <w:bCs/>
          <w:sz w:val="22"/>
          <w:szCs w:val="22"/>
          <w:lang w:eastAsia="en-US"/>
        </w:rPr>
        <w:t xml:space="preserve">Banque Mondiale </w:t>
      </w:r>
      <w:r w:rsidR="00CB12D7" w:rsidRPr="00FE29E2">
        <w:rPr>
          <w:rFonts w:ascii="Century Gothic" w:eastAsiaTheme="minorHAnsi" w:hAnsi="Century Gothic"/>
          <w:b/>
          <w:bCs/>
          <w:sz w:val="22"/>
          <w:szCs w:val="22"/>
          <w:lang w:eastAsia="en-US"/>
        </w:rPr>
        <w:t xml:space="preserve">Immeuble SONOCO commune de Kaloum </w:t>
      </w:r>
      <w:r w:rsidR="00142DAB" w:rsidRPr="00FE29E2">
        <w:rPr>
          <w:rFonts w:ascii="Century Gothic" w:eastAsiaTheme="minorHAnsi" w:hAnsi="Century Gothic"/>
          <w:b/>
          <w:bCs/>
          <w:sz w:val="22"/>
          <w:szCs w:val="22"/>
          <w:lang w:eastAsia="en-US"/>
        </w:rPr>
        <w:t>;</w:t>
      </w:r>
      <w:r w:rsidR="00386FB7" w:rsidRPr="00FE29E2">
        <w:rPr>
          <w:rFonts w:ascii="Century Gothic" w:eastAsiaTheme="minorHAnsi" w:hAnsi="Century Gothic"/>
          <w:b/>
          <w:bCs/>
          <w:sz w:val="22"/>
          <w:szCs w:val="22"/>
          <w:lang w:eastAsia="en-US"/>
        </w:rPr>
        <w:t xml:space="preserve"> Tél.+(224) 621 01 93 37/622 00 89 35</w:t>
      </w:r>
    </w:p>
    <w:p w14:paraId="5A8F3B1E" w14:textId="1B830FD8" w:rsidR="00386FB7" w:rsidRPr="00FE29E2" w:rsidRDefault="00386FB7" w:rsidP="00E66A81">
      <w:pPr>
        <w:pStyle w:val="Paragraphedeliste"/>
        <w:spacing w:before="120" w:after="120" w:line="278" w:lineRule="auto"/>
        <w:ind w:firstLine="0"/>
        <w:contextualSpacing w:val="0"/>
        <w:rPr>
          <w:rFonts w:ascii="Century Gothic" w:eastAsiaTheme="minorHAnsi" w:hAnsi="Century Gothic"/>
          <w:b/>
          <w:bCs/>
          <w:sz w:val="22"/>
          <w:szCs w:val="22"/>
          <w:lang w:eastAsia="en-US"/>
        </w:rPr>
      </w:pPr>
      <w:r w:rsidRPr="00FE29E2">
        <w:rPr>
          <w:rFonts w:ascii="Century Gothic" w:eastAsiaTheme="minorHAnsi" w:hAnsi="Century Gothic"/>
          <w:b/>
          <w:bCs/>
          <w:sz w:val="22"/>
          <w:szCs w:val="22"/>
          <w:lang w:eastAsia="en-US"/>
        </w:rPr>
        <w:t>E</w:t>
      </w:r>
      <w:r w:rsidR="00275ED6" w:rsidRPr="00FE29E2">
        <w:rPr>
          <w:rFonts w:ascii="Century Gothic" w:eastAsiaTheme="minorHAnsi" w:hAnsi="Century Gothic"/>
          <w:b/>
          <w:bCs/>
          <w:sz w:val="22"/>
          <w:szCs w:val="22"/>
          <w:lang w:eastAsia="en-US"/>
        </w:rPr>
        <w:t>mail</w:t>
      </w:r>
      <w:r w:rsidRPr="00FE29E2">
        <w:rPr>
          <w:rFonts w:ascii="Century Gothic" w:eastAsiaTheme="minorHAnsi" w:hAnsi="Century Gothic"/>
          <w:b/>
          <w:bCs/>
          <w:sz w:val="22"/>
          <w:szCs w:val="22"/>
          <w:lang w:eastAsia="en-US"/>
        </w:rPr>
        <w:t> :</w:t>
      </w:r>
      <w:hyperlink r:id="rId10" w:history="1">
        <w:r w:rsidR="00611020" w:rsidRPr="00FE29E2">
          <w:rPr>
            <w:rStyle w:val="Lienhypertexte"/>
            <w:rFonts w:ascii="Century Gothic" w:eastAsiaTheme="minorHAnsi" w:hAnsi="Century Gothic"/>
            <w:b/>
            <w:bCs/>
            <w:sz w:val="22"/>
            <w:szCs w:val="22"/>
            <w:lang w:eastAsia="en-US"/>
          </w:rPr>
          <w:t>aissata.kaba@outlook.com</w:t>
        </w:r>
      </w:hyperlink>
      <w:r w:rsidR="00611020" w:rsidRPr="00FE29E2">
        <w:rPr>
          <w:rFonts w:ascii="Century Gothic" w:eastAsiaTheme="minorHAnsi" w:hAnsi="Century Gothic"/>
          <w:b/>
          <w:bCs/>
          <w:sz w:val="22"/>
          <w:szCs w:val="22"/>
          <w:lang w:eastAsia="en-US"/>
        </w:rPr>
        <w:t> ;</w:t>
      </w:r>
      <w:hyperlink r:id="rId11" w:history="1">
        <w:r w:rsidR="001C2DB1" w:rsidRPr="00FE29E2">
          <w:rPr>
            <w:rStyle w:val="Lienhypertexte"/>
            <w:rFonts w:ascii="Century Gothic" w:eastAsiaTheme="minorHAnsi" w:hAnsi="Century Gothic"/>
            <w:b/>
            <w:bCs/>
            <w:sz w:val="22"/>
            <w:szCs w:val="22"/>
            <w:lang w:eastAsia="en-US"/>
          </w:rPr>
          <w:t>macamara@segguinee.com</w:t>
        </w:r>
      </w:hyperlink>
      <w:r w:rsidR="00611020" w:rsidRPr="00FE29E2">
        <w:rPr>
          <w:rFonts w:ascii="Century Gothic" w:eastAsiaTheme="minorHAnsi" w:hAnsi="Century Gothic"/>
          <w:b/>
          <w:bCs/>
          <w:sz w:val="22"/>
          <w:szCs w:val="22"/>
          <w:lang w:eastAsia="en-US"/>
        </w:rPr>
        <w:t xml:space="preserve">; </w:t>
      </w:r>
      <w:hyperlink r:id="rId12" w:history="1">
        <w:r w:rsidR="00611020" w:rsidRPr="00FE29E2">
          <w:rPr>
            <w:rStyle w:val="Lienhypertexte"/>
            <w:rFonts w:ascii="Century Gothic" w:eastAsiaTheme="minorHAnsi" w:hAnsi="Century Gothic"/>
            <w:b/>
            <w:bCs/>
            <w:sz w:val="22"/>
            <w:szCs w:val="22"/>
            <w:lang w:eastAsia="en-US"/>
          </w:rPr>
          <w:t>allareny.diallo@segguinee.com</w:t>
        </w:r>
      </w:hyperlink>
    </w:p>
    <w:p w14:paraId="2E848A90" w14:textId="23153036" w:rsidR="00EC2ACA" w:rsidRDefault="00EF3A9F" w:rsidP="00EC2ACA">
      <w:pPr>
        <w:pStyle w:val="Paragraphedeliste"/>
        <w:spacing w:before="120" w:after="120" w:line="278" w:lineRule="auto"/>
        <w:ind w:left="0" w:firstLine="0"/>
        <w:contextualSpacing w:val="0"/>
        <w:jc w:val="left"/>
        <w:rPr>
          <w:rStyle w:val="Lienhypertexte"/>
          <w:rFonts w:ascii="Century Gothic" w:eastAsiaTheme="minorHAnsi" w:hAnsi="Century Gothic" w:cstheme="minorBidi"/>
          <w:b/>
          <w:bCs/>
          <w:sz w:val="22"/>
          <w:szCs w:val="22"/>
          <w:lang w:eastAsia="en-US"/>
        </w:rPr>
      </w:pPr>
      <w:r w:rsidRPr="00715931">
        <w:rPr>
          <w:rFonts w:ascii="Century Gothic" w:eastAsiaTheme="minorHAnsi" w:hAnsi="Century Gothic"/>
          <w:sz w:val="22"/>
          <w:szCs w:val="22"/>
          <w:lang w:eastAsia="en-US"/>
        </w:rPr>
        <w:t>Pour les entreprises qui souhaitent participer en ligne, veuillez visiter l</w:t>
      </w:r>
      <w:r w:rsidR="00B74A64">
        <w:rPr>
          <w:rFonts w:ascii="Century Gothic" w:eastAsiaTheme="minorHAnsi" w:hAnsi="Century Gothic"/>
          <w:sz w:val="22"/>
          <w:szCs w:val="22"/>
          <w:lang w:eastAsia="en-US"/>
        </w:rPr>
        <w:t xml:space="preserve">a page </w:t>
      </w:r>
      <w:r w:rsidR="00036579" w:rsidRPr="002A7B61">
        <w:rPr>
          <w:rFonts w:ascii="Century Gothic" w:eastAsiaTheme="minorHAnsi" w:hAnsi="Century Gothic"/>
          <w:b/>
          <w:bCs/>
          <w:sz w:val="22"/>
          <w:szCs w:val="22"/>
          <w:lang w:eastAsia="en-US"/>
        </w:rPr>
        <w:t>Linkedin</w:t>
      </w:r>
      <w:r w:rsidR="00036579" w:rsidRPr="00715931">
        <w:rPr>
          <w:rFonts w:ascii="Century Gothic" w:eastAsiaTheme="minorHAnsi" w:hAnsi="Century Gothic"/>
          <w:sz w:val="22"/>
          <w:szCs w:val="22"/>
          <w:lang w:eastAsia="en-US"/>
        </w:rPr>
        <w:t xml:space="preserve"> </w:t>
      </w:r>
      <w:r w:rsidR="00036579">
        <w:rPr>
          <w:rFonts w:ascii="Century Gothic" w:eastAsiaTheme="minorHAnsi" w:hAnsi="Century Gothic"/>
          <w:sz w:val="22"/>
          <w:szCs w:val="22"/>
          <w:lang w:eastAsia="en-US"/>
        </w:rPr>
        <w:t xml:space="preserve">ou </w:t>
      </w:r>
      <w:r w:rsidR="00713446" w:rsidRPr="002A7B61">
        <w:rPr>
          <w:rFonts w:ascii="Century Gothic" w:eastAsiaTheme="minorHAnsi" w:hAnsi="Century Gothic"/>
          <w:b/>
          <w:bCs/>
          <w:sz w:val="22"/>
          <w:szCs w:val="22"/>
          <w:lang w:eastAsia="en-US"/>
        </w:rPr>
        <w:t>Facebook</w:t>
      </w:r>
      <w:r w:rsidR="00B1359D">
        <w:rPr>
          <w:rFonts w:ascii="Century Gothic" w:eastAsiaTheme="minorHAnsi" w:hAnsi="Century Gothic"/>
          <w:sz w:val="22"/>
          <w:szCs w:val="22"/>
          <w:lang w:eastAsia="en-US"/>
        </w:rPr>
        <w:t xml:space="preserve"> </w:t>
      </w:r>
      <w:r w:rsidR="00713446" w:rsidRPr="00715931">
        <w:rPr>
          <w:rFonts w:ascii="Century Gothic" w:eastAsiaTheme="minorHAnsi" w:hAnsi="Century Gothic"/>
          <w:sz w:val="22"/>
          <w:szCs w:val="22"/>
          <w:lang w:eastAsia="en-US"/>
        </w:rPr>
        <w:t>de</w:t>
      </w:r>
      <w:r w:rsidRPr="00715931">
        <w:rPr>
          <w:rFonts w:ascii="Century Gothic" w:eastAsiaTheme="minorHAnsi" w:hAnsi="Century Gothic"/>
          <w:sz w:val="22"/>
          <w:szCs w:val="22"/>
          <w:lang w:eastAsia="en-US"/>
        </w:rPr>
        <w:t xml:space="preserve"> la </w:t>
      </w:r>
      <w:r w:rsidRPr="002A7B61">
        <w:rPr>
          <w:rFonts w:ascii="Century Gothic" w:eastAsiaTheme="minorHAnsi" w:hAnsi="Century Gothic"/>
          <w:b/>
          <w:bCs/>
          <w:sz w:val="22"/>
          <w:szCs w:val="22"/>
          <w:lang w:eastAsia="en-US"/>
        </w:rPr>
        <w:t>Société des Eaux de Guinée (SEG S.A)</w:t>
      </w:r>
      <w:r w:rsidRPr="00715931">
        <w:rPr>
          <w:rFonts w:ascii="Century Gothic" w:eastAsiaTheme="minorHAnsi" w:hAnsi="Century Gothic"/>
          <w:sz w:val="22"/>
          <w:szCs w:val="22"/>
          <w:lang w:eastAsia="en-US"/>
        </w:rPr>
        <w:t> :</w:t>
      </w:r>
      <w:r w:rsidR="00713446">
        <w:rPr>
          <w:rFonts w:ascii="Century Gothic" w:eastAsiaTheme="minorHAnsi" w:hAnsi="Century Gothic"/>
          <w:sz w:val="22"/>
          <w:szCs w:val="22"/>
          <w:lang w:eastAsia="en-US"/>
        </w:rPr>
        <w:t xml:space="preserve"> </w:t>
      </w:r>
      <w:r w:rsidR="00EC2ACA">
        <w:rPr>
          <w:rFonts w:ascii="Century Gothic" w:eastAsiaTheme="minorHAnsi" w:hAnsi="Century Gothic"/>
          <w:sz w:val="22"/>
          <w:szCs w:val="22"/>
          <w:lang w:eastAsia="en-US"/>
        </w:rPr>
        <w:t xml:space="preserve">                                                                                                                           </w:t>
      </w:r>
      <w:bookmarkStart w:id="1" w:name="_Hlk219409298"/>
      <w:r w:rsidR="0020343F">
        <w:rPr>
          <w:rStyle w:val="Lienhypertexte"/>
          <w:rFonts w:ascii="Century Gothic" w:eastAsiaTheme="minorHAnsi" w:hAnsi="Century Gothic" w:cstheme="minorBidi"/>
          <w:b/>
          <w:bCs/>
          <w:sz w:val="22"/>
          <w:szCs w:val="22"/>
          <w:lang w:eastAsia="en-US"/>
        </w:rPr>
        <w:fldChar w:fldCharType="begin"/>
      </w:r>
      <w:r w:rsidR="0020343F">
        <w:rPr>
          <w:rStyle w:val="Lienhypertexte"/>
          <w:rFonts w:ascii="Century Gothic" w:eastAsiaTheme="minorHAnsi" w:hAnsi="Century Gothic" w:cstheme="minorBidi"/>
          <w:b/>
          <w:bCs/>
          <w:sz w:val="22"/>
          <w:szCs w:val="22"/>
          <w:lang w:eastAsia="en-US"/>
        </w:rPr>
        <w:instrText>HYPERLINK "</w:instrText>
      </w:r>
      <w:r w:rsidR="0020343F" w:rsidRPr="00B1359D">
        <w:rPr>
          <w:rStyle w:val="Lienhypertexte"/>
          <w:rFonts w:ascii="Century Gothic" w:eastAsiaTheme="minorHAnsi" w:hAnsi="Century Gothic" w:cstheme="minorBidi"/>
          <w:b/>
          <w:bCs/>
          <w:sz w:val="22"/>
          <w:szCs w:val="22"/>
          <w:lang w:eastAsia="en-US"/>
        </w:rPr>
        <w:instrText>https://www.linkedin.com/company/segguinee</w:instrText>
      </w:r>
      <w:r w:rsidR="0020343F">
        <w:rPr>
          <w:rStyle w:val="Lienhypertexte"/>
          <w:rFonts w:ascii="Century Gothic" w:eastAsiaTheme="minorHAnsi" w:hAnsi="Century Gothic" w:cstheme="minorBidi"/>
          <w:b/>
          <w:bCs/>
          <w:sz w:val="22"/>
          <w:szCs w:val="22"/>
          <w:lang w:eastAsia="en-US"/>
        </w:rPr>
        <w:instrText>"</w:instrText>
      </w:r>
      <w:r w:rsidR="0020343F">
        <w:rPr>
          <w:rStyle w:val="Lienhypertexte"/>
          <w:rFonts w:ascii="Century Gothic" w:eastAsiaTheme="minorHAnsi" w:hAnsi="Century Gothic" w:cstheme="minorBidi"/>
          <w:b/>
          <w:bCs/>
          <w:sz w:val="22"/>
          <w:szCs w:val="22"/>
          <w:lang w:eastAsia="en-US"/>
        </w:rPr>
        <w:fldChar w:fldCharType="separate"/>
      </w:r>
      <w:r w:rsidR="0020343F" w:rsidRPr="004E15A5">
        <w:rPr>
          <w:rStyle w:val="Lienhypertexte"/>
          <w:rFonts w:ascii="Century Gothic" w:eastAsiaTheme="minorHAnsi" w:hAnsi="Century Gothic" w:cstheme="minorBidi"/>
          <w:b/>
          <w:bCs/>
          <w:sz w:val="22"/>
          <w:szCs w:val="22"/>
          <w:lang w:eastAsia="en-US"/>
        </w:rPr>
        <w:t>https://www.linkedin.com/company/segguinee</w:t>
      </w:r>
      <w:bookmarkEnd w:id="1"/>
      <w:r w:rsidR="0020343F">
        <w:rPr>
          <w:rStyle w:val="Lienhypertexte"/>
          <w:rFonts w:ascii="Century Gothic" w:eastAsiaTheme="minorHAnsi" w:hAnsi="Century Gothic" w:cstheme="minorBidi"/>
          <w:b/>
          <w:bCs/>
          <w:sz w:val="22"/>
          <w:szCs w:val="22"/>
          <w:lang w:eastAsia="en-US"/>
        </w:rPr>
        <w:fldChar w:fldCharType="end"/>
      </w:r>
    </w:p>
    <w:p w14:paraId="08E4F447" w14:textId="1960DDF1" w:rsidR="0020343F" w:rsidRPr="00EC2ACA" w:rsidRDefault="000C7A0D" w:rsidP="00EC2ACA">
      <w:pPr>
        <w:pStyle w:val="Paragraphedeliste"/>
        <w:spacing w:before="120" w:after="120" w:line="278" w:lineRule="auto"/>
        <w:ind w:left="0" w:firstLine="0"/>
        <w:contextualSpacing w:val="0"/>
        <w:jc w:val="left"/>
        <w:rPr>
          <w:rFonts w:ascii="Century Gothic" w:eastAsiaTheme="minorHAnsi" w:hAnsi="Century Gothic" w:cstheme="minorBidi"/>
          <w:b/>
          <w:bCs/>
          <w:color w:val="0563C1" w:themeColor="hyperlink"/>
          <w:sz w:val="22"/>
          <w:szCs w:val="22"/>
          <w:u w:val="single"/>
          <w:lang w:eastAsia="en-US"/>
        </w:rPr>
      </w:pPr>
      <w:hyperlink r:id="rId13" w:history="1">
        <w:r w:rsidR="0020343F" w:rsidRPr="004E15A5">
          <w:rPr>
            <w:rStyle w:val="Lienhypertexte"/>
            <w:rFonts w:ascii="Century Gothic" w:eastAsiaTheme="minorHAnsi" w:hAnsi="Century Gothic" w:cstheme="minorBidi"/>
            <w:b/>
            <w:bCs/>
            <w:sz w:val="22"/>
            <w:szCs w:val="22"/>
            <w:lang w:eastAsia="en-US"/>
          </w:rPr>
          <w:t>https://www.facebook.com/segguineeconakry</w:t>
        </w:r>
      </w:hyperlink>
    </w:p>
    <w:p w14:paraId="6949CA67" w14:textId="72341FE8" w:rsidR="001968A4" w:rsidRPr="001C2DB1" w:rsidRDefault="001C2DB1" w:rsidP="001C2DB1">
      <w:pPr>
        <w:jc w:val="both"/>
        <w:rPr>
          <w:rFonts w:ascii="Century Gothic" w:hAnsi="Century Gothic" w:cs="Times New Roman"/>
          <w:b/>
          <w:sz w:val="24"/>
          <w:szCs w:val="24"/>
        </w:rPr>
      </w:pPr>
      <w:r>
        <w:rPr>
          <w:rFonts w:ascii="Century Gothic" w:hAnsi="Century Gothic" w:cs="Times New Roman"/>
          <w:b/>
          <w:sz w:val="24"/>
          <w:szCs w:val="24"/>
        </w:rPr>
        <w:t>6</w:t>
      </w:r>
      <w:r w:rsidRPr="001C2DB1">
        <w:rPr>
          <w:rFonts w:ascii="Century Gothic" w:hAnsi="Century Gothic" w:cs="Times New Roman"/>
          <w:b/>
          <w:sz w:val="24"/>
          <w:szCs w:val="24"/>
        </w:rPr>
        <w:t>. PROCHAINES ETAPES</w:t>
      </w:r>
    </w:p>
    <w:p w14:paraId="4EE6CBA0" w14:textId="06A1FA5D" w:rsidR="001968A4" w:rsidRPr="00715931" w:rsidRDefault="00A715C2" w:rsidP="00F31E1B">
      <w:pPr>
        <w:spacing w:before="120" w:after="120"/>
        <w:jc w:val="both"/>
        <w:rPr>
          <w:rFonts w:ascii="Century Gothic" w:hAnsi="Century Gothic" w:cs="Times New Roman"/>
        </w:rPr>
      </w:pPr>
      <w:r w:rsidRPr="00715931">
        <w:rPr>
          <w:rFonts w:ascii="Century Gothic" w:hAnsi="Century Gothic" w:cs="Times New Roman"/>
        </w:rPr>
        <w:t xml:space="preserve">Les informations recueillies permettront à la </w:t>
      </w:r>
      <w:r w:rsidR="00F31E1B" w:rsidRPr="00715931">
        <w:rPr>
          <w:rFonts w:ascii="Century Gothic" w:hAnsi="Century Gothic" w:cs="Times New Roman"/>
        </w:rPr>
        <w:t>SEG</w:t>
      </w:r>
      <w:r w:rsidRPr="00715931">
        <w:rPr>
          <w:rFonts w:ascii="Century Gothic" w:hAnsi="Century Gothic" w:cs="Times New Roman"/>
        </w:rPr>
        <w:t>-SA d’affiner les modalités du projet et d’adapter la stratégie d’approvisionnement.</w:t>
      </w:r>
      <w:r w:rsidR="00EF3A9F" w:rsidRPr="00715931">
        <w:rPr>
          <w:rFonts w:ascii="Century Gothic" w:hAnsi="Century Gothic" w:cs="Times New Roman"/>
        </w:rPr>
        <w:t xml:space="preserve"> </w:t>
      </w:r>
      <w:r w:rsidRPr="00715931">
        <w:rPr>
          <w:rFonts w:ascii="Century Gothic" w:hAnsi="Century Gothic" w:cs="Times New Roman"/>
        </w:rPr>
        <w:t>Toute procédure formelle de passation de marché ultérieure sera communiquée par les canaux officiels.</w:t>
      </w:r>
    </w:p>
    <w:p w14:paraId="5251F198" w14:textId="74B83016" w:rsidR="001968A4" w:rsidRPr="00715931" w:rsidRDefault="001C2DB1" w:rsidP="00F31E1B">
      <w:pPr>
        <w:spacing w:before="240" w:after="240"/>
        <w:jc w:val="both"/>
        <w:rPr>
          <w:rFonts w:ascii="Century Gothic" w:hAnsi="Century Gothic" w:cs="Times New Roman"/>
          <w:b/>
        </w:rPr>
      </w:pPr>
      <w:r>
        <w:rPr>
          <w:rFonts w:ascii="Century Gothic" w:hAnsi="Century Gothic" w:cs="Times New Roman"/>
          <w:b/>
        </w:rPr>
        <w:t>7</w:t>
      </w:r>
      <w:r w:rsidRPr="00715931">
        <w:rPr>
          <w:rFonts w:ascii="Century Gothic" w:hAnsi="Century Gothic" w:cs="Times New Roman"/>
          <w:b/>
        </w:rPr>
        <w:t>. REMARQUES IMPORTANTES</w:t>
      </w:r>
    </w:p>
    <w:p w14:paraId="2CAE3148" w14:textId="77777777" w:rsidR="001968A4" w:rsidRPr="00715931" w:rsidRDefault="00A715C2" w:rsidP="00F31E1B">
      <w:pPr>
        <w:spacing w:before="120" w:after="120" w:line="240" w:lineRule="auto"/>
        <w:jc w:val="both"/>
        <w:rPr>
          <w:rFonts w:ascii="Century Gothic" w:eastAsia="Times New Roman" w:hAnsi="Century Gothic" w:cs="Times New Roman"/>
        </w:rPr>
      </w:pPr>
      <w:r w:rsidRPr="00715931">
        <w:rPr>
          <w:rFonts w:ascii="Century Gothic" w:eastAsia="Times New Roman" w:hAnsi="Century Gothic" w:cs="Times New Roman"/>
        </w:rPr>
        <w:t>La participation à cet engagement précoce du marché ne confère aucun avantage lors du processus de sélection à venir.</w:t>
      </w:r>
    </w:p>
    <w:p w14:paraId="31A56190" w14:textId="61D4D69C" w:rsidR="001968A4" w:rsidRPr="00715931" w:rsidRDefault="00A715C2" w:rsidP="00F31E1B">
      <w:pPr>
        <w:spacing w:before="120" w:after="120" w:line="240" w:lineRule="auto"/>
        <w:jc w:val="both"/>
        <w:rPr>
          <w:rFonts w:ascii="Century Gothic" w:eastAsia="Times New Roman" w:hAnsi="Century Gothic" w:cs="Times New Roman"/>
        </w:rPr>
      </w:pPr>
      <w:r w:rsidRPr="00715931">
        <w:rPr>
          <w:rFonts w:ascii="Century Gothic" w:eastAsia="Times New Roman" w:hAnsi="Century Gothic" w:cs="Times New Roman"/>
        </w:rPr>
        <w:t xml:space="preserve">Il ne s'agit pas d'un appel d'offres ni d'un exercice de </w:t>
      </w:r>
      <w:r w:rsidR="007524F2" w:rsidRPr="00715931">
        <w:rPr>
          <w:rFonts w:ascii="Century Gothic" w:eastAsia="Times New Roman" w:hAnsi="Century Gothic" w:cs="Times New Roman"/>
        </w:rPr>
        <w:t>préqualification</w:t>
      </w:r>
      <w:r w:rsidRPr="00715931">
        <w:rPr>
          <w:rFonts w:ascii="Century Gothic" w:eastAsia="Times New Roman" w:hAnsi="Century Gothic" w:cs="Times New Roman"/>
        </w:rPr>
        <w:t>.</w:t>
      </w:r>
    </w:p>
    <w:p w14:paraId="309C92F3" w14:textId="77777777" w:rsidR="001968A4" w:rsidRPr="00715931" w:rsidRDefault="00A715C2" w:rsidP="00F31E1B">
      <w:pPr>
        <w:spacing w:before="120" w:after="120" w:line="240" w:lineRule="auto"/>
        <w:jc w:val="both"/>
        <w:rPr>
          <w:rFonts w:ascii="Century Gothic" w:eastAsia="Times New Roman" w:hAnsi="Century Gothic" w:cs="Times New Roman"/>
        </w:rPr>
      </w:pPr>
      <w:r w:rsidRPr="00715931">
        <w:rPr>
          <w:rFonts w:ascii="Century Gothic" w:eastAsia="Times New Roman" w:hAnsi="Century Gothic" w:cs="Times New Roman"/>
        </w:rPr>
        <w:t>Toutes les informations reçues seront traitées de manière confidentielle et utilisées uniquement pour l'analyse du marché, la planification et l’optimisation des travaux objet du marché.</w:t>
      </w:r>
    </w:p>
    <w:p w14:paraId="7D741ECF" w14:textId="77777777" w:rsidR="001968A4" w:rsidRPr="00715931" w:rsidRDefault="00A715C2" w:rsidP="00686DDA">
      <w:pPr>
        <w:jc w:val="both"/>
        <w:rPr>
          <w:rFonts w:ascii="Century Gothic" w:hAnsi="Century Gothic" w:cs="Times New Roman"/>
        </w:rPr>
      </w:pPr>
      <w:r w:rsidRPr="00715931">
        <w:rPr>
          <w:rFonts w:ascii="Century Gothic" w:hAnsi="Century Gothic" w:cs="Times New Roman"/>
        </w:rPr>
        <w:t>Nous vous remercions pour votre participation et vos précieuses contributions.</w:t>
      </w:r>
    </w:p>
    <w:p w14:paraId="5736F226" w14:textId="77777777" w:rsidR="009C66EA" w:rsidRPr="00715931" w:rsidRDefault="009C66EA" w:rsidP="00F31E1B">
      <w:pPr>
        <w:autoSpaceDE w:val="0"/>
        <w:autoSpaceDN w:val="0"/>
        <w:adjustRightInd w:val="0"/>
        <w:ind w:left="3540" w:firstLine="708"/>
        <w:jc w:val="both"/>
        <w:rPr>
          <w:rFonts w:ascii="Century Gothic" w:eastAsia="Times New Roman" w:hAnsi="Century Gothic" w:cs="Times New Roman"/>
          <w:lang w:eastAsia="fr-FR"/>
        </w:rPr>
      </w:pPr>
    </w:p>
    <w:p w14:paraId="4ADC0668" w14:textId="77777777" w:rsidR="009C66EA" w:rsidRPr="00715931" w:rsidRDefault="009C66EA" w:rsidP="00F31E1B">
      <w:pPr>
        <w:autoSpaceDE w:val="0"/>
        <w:autoSpaceDN w:val="0"/>
        <w:adjustRightInd w:val="0"/>
        <w:ind w:left="3540" w:firstLine="708"/>
        <w:jc w:val="both"/>
        <w:rPr>
          <w:rFonts w:ascii="Century Gothic" w:eastAsia="Times New Roman" w:hAnsi="Century Gothic" w:cs="Times New Roman"/>
          <w:lang w:eastAsia="fr-FR"/>
        </w:rPr>
      </w:pPr>
    </w:p>
    <w:p w14:paraId="520519B3" w14:textId="0F0E8094" w:rsidR="001968A4" w:rsidRPr="001C2DB1" w:rsidRDefault="00A715C2" w:rsidP="00F31E1B">
      <w:pPr>
        <w:autoSpaceDE w:val="0"/>
        <w:autoSpaceDN w:val="0"/>
        <w:adjustRightInd w:val="0"/>
        <w:ind w:left="3540" w:firstLine="708"/>
        <w:jc w:val="both"/>
        <w:rPr>
          <w:rFonts w:ascii="Century Gothic" w:eastAsia="Times New Roman" w:hAnsi="Century Gothic" w:cs="Times New Roman"/>
          <w:b/>
          <w:bCs/>
          <w:lang w:eastAsia="fr-FR"/>
        </w:rPr>
      </w:pPr>
      <w:r w:rsidRPr="001C2DB1">
        <w:rPr>
          <w:rFonts w:ascii="Century Gothic" w:eastAsia="Times New Roman" w:hAnsi="Century Gothic" w:cs="Times New Roman"/>
          <w:b/>
          <w:bCs/>
          <w:lang w:eastAsia="fr-FR"/>
        </w:rPr>
        <w:t xml:space="preserve">Le </w:t>
      </w:r>
      <w:r w:rsidR="00F31E1B" w:rsidRPr="001C2DB1">
        <w:rPr>
          <w:rFonts w:ascii="Century Gothic" w:eastAsia="Times New Roman" w:hAnsi="Century Gothic" w:cs="Times New Roman"/>
          <w:b/>
          <w:bCs/>
          <w:lang w:eastAsia="fr-FR"/>
        </w:rPr>
        <w:t>Secrétaire Général du MHH</w:t>
      </w:r>
    </w:p>
    <w:p w14:paraId="2F3EEAED" w14:textId="6A9CA5C8" w:rsidR="001968A4" w:rsidRPr="001C2DB1" w:rsidRDefault="00303D91" w:rsidP="00F31E1B">
      <w:pPr>
        <w:autoSpaceDE w:val="0"/>
        <w:autoSpaceDN w:val="0"/>
        <w:adjustRightInd w:val="0"/>
        <w:ind w:left="4248" w:firstLine="708"/>
        <w:jc w:val="both"/>
        <w:rPr>
          <w:rFonts w:ascii="Century Gothic" w:hAnsi="Century Gothic" w:cs="Times New Roman"/>
          <w:b/>
          <w:bCs/>
          <w:u w:val="single"/>
          <w:lang w:eastAsia="zh-CN"/>
        </w:rPr>
      </w:pPr>
      <w:r w:rsidRPr="001C2DB1">
        <w:rPr>
          <w:rFonts w:ascii="Century Gothic" w:eastAsia="Times New Roman" w:hAnsi="Century Gothic" w:cs="Times New Roman"/>
          <w:b/>
          <w:bCs/>
          <w:u w:val="single"/>
          <w:lang w:eastAsia="fr-FR"/>
        </w:rPr>
        <w:t>Bachir CAMARA</w:t>
      </w:r>
    </w:p>
    <w:sectPr w:rsidR="001968A4" w:rsidRPr="001C2D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ABC1" w14:textId="77777777" w:rsidR="000C7A0D" w:rsidRDefault="000C7A0D">
      <w:pPr>
        <w:spacing w:line="240" w:lineRule="auto"/>
      </w:pPr>
      <w:r>
        <w:separator/>
      </w:r>
    </w:p>
  </w:endnote>
  <w:endnote w:type="continuationSeparator" w:id="0">
    <w:p w14:paraId="4D799AE5" w14:textId="77777777" w:rsidR="000C7A0D" w:rsidRDefault="000C7A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altName w:val="Gulim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E6F8" w14:textId="51EA9F4B" w:rsidR="00E5449A" w:rsidRDefault="00E5449A">
    <w:pPr>
      <w:pStyle w:val="Pieddepage"/>
    </w:pPr>
    <w:r>
      <w:rPr>
        <w:noProof/>
      </w:rPr>
      <mc:AlternateContent>
        <mc:Choice Requires="wps">
          <w:drawing>
            <wp:anchor distT="0" distB="0" distL="0" distR="0" simplePos="0" relativeHeight="251659264" behindDoc="0" locked="0" layoutInCell="1" allowOverlap="1" wp14:anchorId="30EDCF72" wp14:editId="30159131">
              <wp:simplePos x="635" y="635"/>
              <wp:positionH relativeFrom="page">
                <wp:align>right</wp:align>
              </wp:positionH>
              <wp:positionV relativeFrom="page">
                <wp:align>bottom</wp:align>
              </wp:positionV>
              <wp:extent cx="1172210" cy="357505"/>
              <wp:effectExtent l="0" t="0" r="0" b="0"/>
              <wp:wrapNone/>
              <wp:docPr id="87236194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1101313D" w14:textId="75CABE42" w:rsidR="00E5449A" w:rsidRPr="00E5449A" w:rsidRDefault="00E5449A" w:rsidP="00E5449A">
                          <w:pPr>
                            <w:spacing w:after="0"/>
                            <w:rPr>
                              <w:rFonts w:ascii="Aptos" w:eastAsia="Aptos" w:hAnsi="Aptos" w:cs="Aptos"/>
                              <w:noProof/>
                              <w:color w:val="000000"/>
                              <w:sz w:val="20"/>
                              <w:szCs w:val="20"/>
                            </w:rPr>
                          </w:pPr>
                          <w:r w:rsidRPr="00E5449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30EDCF72"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textbox style="mso-fit-shape-to-text:t" inset="0,0,20pt,15pt">
                <w:txbxContent>
                  <w:p w14:paraId="1101313D" w14:textId="75CABE42" w:rsidR="00E5449A" w:rsidRPr="00E5449A" w:rsidRDefault="00E5449A" w:rsidP="00E5449A">
                    <w:pPr>
                      <w:spacing w:after="0"/>
                      <w:rPr>
                        <w:rFonts w:ascii="Aptos" w:eastAsia="Aptos" w:hAnsi="Aptos" w:cs="Aptos"/>
                        <w:noProof/>
                        <w:color w:val="000000"/>
                        <w:sz w:val="20"/>
                        <w:szCs w:val="20"/>
                      </w:rPr>
                    </w:pPr>
                    <w:r w:rsidRPr="00E5449A">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17AF" w14:textId="4B9218B3" w:rsidR="001968A4" w:rsidRDefault="00E5449A">
    <w:pPr>
      <w:pStyle w:val="Pieddepage"/>
      <w:jc w:val="right"/>
    </w:pPr>
    <w:r>
      <w:rPr>
        <w:noProof/>
      </w:rPr>
      <mc:AlternateContent>
        <mc:Choice Requires="wps">
          <w:drawing>
            <wp:anchor distT="0" distB="0" distL="0" distR="0" simplePos="0" relativeHeight="251660288" behindDoc="0" locked="0" layoutInCell="1" allowOverlap="1" wp14:anchorId="3ECA6B03" wp14:editId="25CC5379">
              <wp:simplePos x="904875" y="6943725"/>
              <wp:positionH relativeFrom="page">
                <wp:align>right</wp:align>
              </wp:positionH>
              <wp:positionV relativeFrom="page">
                <wp:align>bottom</wp:align>
              </wp:positionV>
              <wp:extent cx="1172210" cy="357505"/>
              <wp:effectExtent l="0" t="0" r="0" b="0"/>
              <wp:wrapNone/>
              <wp:docPr id="146830188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485A54A3" w14:textId="4C6DD625" w:rsidR="00E5449A" w:rsidRPr="00E5449A" w:rsidRDefault="00E5449A" w:rsidP="00E5449A">
                          <w:pPr>
                            <w:spacing w:after="0"/>
                            <w:rPr>
                              <w:rFonts w:ascii="Aptos" w:eastAsia="Aptos" w:hAnsi="Aptos" w:cs="Aptos"/>
                              <w:noProof/>
                              <w:color w:val="000000"/>
                              <w:sz w:val="20"/>
                              <w:szCs w:val="20"/>
                            </w:rPr>
                          </w:pPr>
                          <w:r w:rsidRPr="00E5449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3ECA6B03"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filled="f" stroked="f">
              <v:textbox style="mso-fit-shape-to-text:t" inset="0,0,20pt,15pt">
                <w:txbxContent>
                  <w:p w14:paraId="485A54A3" w14:textId="4C6DD625" w:rsidR="00E5449A" w:rsidRPr="00E5449A" w:rsidRDefault="00E5449A" w:rsidP="00E5449A">
                    <w:pPr>
                      <w:spacing w:after="0"/>
                      <w:rPr>
                        <w:rFonts w:ascii="Aptos" w:eastAsia="Aptos" w:hAnsi="Aptos" w:cs="Aptos"/>
                        <w:noProof/>
                        <w:color w:val="000000"/>
                        <w:sz w:val="20"/>
                        <w:szCs w:val="20"/>
                      </w:rPr>
                    </w:pPr>
                    <w:r w:rsidRPr="00E5449A">
                      <w:rPr>
                        <w:rFonts w:ascii="Aptos" w:eastAsia="Aptos" w:hAnsi="Aptos" w:cs="Aptos"/>
                        <w:noProof/>
                        <w:color w:val="000000"/>
                        <w:sz w:val="20"/>
                        <w:szCs w:val="20"/>
                      </w:rPr>
                      <w:t>Official Use Only</w:t>
                    </w:r>
                  </w:p>
                </w:txbxContent>
              </v:textbox>
              <w10:wrap anchorx="page" anchory="page"/>
            </v:shape>
          </w:pict>
        </mc:Fallback>
      </mc:AlternateContent>
    </w:r>
    <w:sdt>
      <w:sdtPr>
        <w:id w:val="1043952299"/>
        <w:docPartObj>
          <w:docPartGallery w:val="AutoText"/>
        </w:docPartObj>
      </w:sdtPr>
      <w:sdtEndPr/>
      <w:sdtContent>
        <w:sdt>
          <w:sdtPr>
            <w:id w:val="-1769616900"/>
            <w:docPartObj>
              <w:docPartGallery w:val="AutoText"/>
            </w:docPartObj>
          </w:sdtPr>
          <w:sdtEndPr/>
          <w:sdtContent>
            <w:r w:rsidR="00A715C2">
              <w:t xml:space="preserve">Page </w:t>
            </w:r>
            <w:r w:rsidR="00A715C2">
              <w:rPr>
                <w:b/>
                <w:bCs/>
                <w:sz w:val="24"/>
                <w:szCs w:val="24"/>
              </w:rPr>
              <w:fldChar w:fldCharType="begin"/>
            </w:r>
            <w:r w:rsidR="00A715C2">
              <w:rPr>
                <w:b/>
                <w:bCs/>
              </w:rPr>
              <w:instrText>PAGE</w:instrText>
            </w:r>
            <w:r w:rsidR="00A715C2">
              <w:rPr>
                <w:b/>
                <w:bCs/>
                <w:sz w:val="24"/>
                <w:szCs w:val="24"/>
              </w:rPr>
              <w:fldChar w:fldCharType="separate"/>
            </w:r>
            <w:r w:rsidR="0036799D">
              <w:rPr>
                <w:b/>
                <w:bCs/>
                <w:noProof/>
              </w:rPr>
              <w:t>2</w:t>
            </w:r>
            <w:r w:rsidR="00A715C2">
              <w:rPr>
                <w:b/>
                <w:bCs/>
                <w:sz w:val="24"/>
                <w:szCs w:val="24"/>
              </w:rPr>
              <w:fldChar w:fldCharType="end"/>
            </w:r>
            <w:r w:rsidR="00A715C2">
              <w:t xml:space="preserve"> sur </w:t>
            </w:r>
            <w:r w:rsidR="00A715C2">
              <w:rPr>
                <w:b/>
                <w:bCs/>
                <w:sz w:val="24"/>
                <w:szCs w:val="24"/>
              </w:rPr>
              <w:fldChar w:fldCharType="begin"/>
            </w:r>
            <w:r w:rsidR="00A715C2">
              <w:rPr>
                <w:b/>
                <w:bCs/>
              </w:rPr>
              <w:instrText>NUMPAGES</w:instrText>
            </w:r>
            <w:r w:rsidR="00A715C2">
              <w:rPr>
                <w:b/>
                <w:bCs/>
                <w:sz w:val="24"/>
                <w:szCs w:val="24"/>
              </w:rPr>
              <w:fldChar w:fldCharType="separate"/>
            </w:r>
            <w:r w:rsidR="0036799D">
              <w:rPr>
                <w:b/>
                <w:bCs/>
                <w:noProof/>
              </w:rPr>
              <w:t>7</w:t>
            </w:r>
            <w:r w:rsidR="00A715C2">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DD0F" w14:textId="413C48EA" w:rsidR="00E5449A" w:rsidRDefault="00E5449A">
    <w:pPr>
      <w:pStyle w:val="Pieddepage"/>
    </w:pPr>
    <w:r>
      <w:rPr>
        <w:noProof/>
      </w:rPr>
      <mc:AlternateContent>
        <mc:Choice Requires="wps">
          <w:drawing>
            <wp:anchor distT="0" distB="0" distL="0" distR="0" simplePos="0" relativeHeight="251658240" behindDoc="0" locked="0" layoutInCell="1" allowOverlap="1" wp14:anchorId="40C60A01" wp14:editId="2FF1FA1E">
              <wp:simplePos x="635" y="635"/>
              <wp:positionH relativeFrom="page">
                <wp:align>right</wp:align>
              </wp:positionH>
              <wp:positionV relativeFrom="page">
                <wp:align>bottom</wp:align>
              </wp:positionV>
              <wp:extent cx="1172210" cy="357505"/>
              <wp:effectExtent l="0" t="0" r="0" b="0"/>
              <wp:wrapNone/>
              <wp:docPr id="174560360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087329EA" w14:textId="451BBB51" w:rsidR="00E5449A" w:rsidRPr="00E5449A" w:rsidRDefault="00E5449A" w:rsidP="00E5449A">
                          <w:pPr>
                            <w:spacing w:after="0"/>
                            <w:rPr>
                              <w:rFonts w:ascii="Aptos" w:eastAsia="Aptos" w:hAnsi="Aptos" w:cs="Aptos"/>
                              <w:noProof/>
                              <w:color w:val="000000"/>
                              <w:sz w:val="20"/>
                              <w:szCs w:val="20"/>
                            </w:rPr>
                          </w:pPr>
                          <w:r w:rsidRPr="00E5449A">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40C60A01"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textbox style="mso-fit-shape-to-text:t" inset="0,0,20pt,15pt">
                <w:txbxContent>
                  <w:p w14:paraId="087329EA" w14:textId="451BBB51" w:rsidR="00E5449A" w:rsidRPr="00E5449A" w:rsidRDefault="00E5449A" w:rsidP="00E5449A">
                    <w:pPr>
                      <w:spacing w:after="0"/>
                      <w:rPr>
                        <w:rFonts w:ascii="Aptos" w:eastAsia="Aptos" w:hAnsi="Aptos" w:cs="Aptos"/>
                        <w:noProof/>
                        <w:color w:val="000000"/>
                        <w:sz w:val="20"/>
                        <w:szCs w:val="20"/>
                      </w:rPr>
                    </w:pPr>
                    <w:r w:rsidRPr="00E5449A">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5023" w14:textId="77777777" w:rsidR="000C7A0D" w:rsidRDefault="000C7A0D">
      <w:pPr>
        <w:spacing w:after="0"/>
      </w:pPr>
      <w:r>
        <w:separator/>
      </w:r>
    </w:p>
  </w:footnote>
  <w:footnote w:type="continuationSeparator" w:id="0">
    <w:p w14:paraId="0FEAD0DA" w14:textId="77777777" w:rsidR="000C7A0D" w:rsidRDefault="000C7A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C99"/>
    <w:multiLevelType w:val="hybridMultilevel"/>
    <w:tmpl w:val="818C719A"/>
    <w:lvl w:ilvl="0" w:tplc="69520A62">
      <w:start w:val="1"/>
      <w:numFmt w:val="decimal"/>
      <w:lvlText w:val="%1."/>
      <w:lvlJc w:val="left"/>
      <w:pPr>
        <w:ind w:left="425" w:hanging="360"/>
      </w:pPr>
      <w:rPr>
        <w:b/>
        <w:bCs/>
      </w:rPr>
    </w:lvl>
    <w:lvl w:ilvl="1" w:tplc="7D98B50E">
      <w:start w:val="1"/>
      <w:numFmt w:val="lowerLetter"/>
      <w:lvlText w:val="%2)"/>
      <w:lvlJc w:val="left"/>
      <w:pPr>
        <w:ind w:left="1145" w:hanging="360"/>
      </w:pPr>
      <w:rPr>
        <w:rFonts w:hint="default"/>
        <w:b/>
      </w:rPr>
    </w:lvl>
    <w:lvl w:ilvl="2" w:tplc="040C001B" w:tentative="1">
      <w:start w:val="1"/>
      <w:numFmt w:val="lowerRoman"/>
      <w:lvlText w:val="%3."/>
      <w:lvlJc w:val="right"/>
      <w:pPr>
        <w:ind w:left="1865" w:hanging="180"/>
      </w:pPr>
    </w:lvl>
    <w:lvl w:ilvl="3" w:tplc="040C000F" w:tentative="1">
      <w:start w:val="1"/>
      <w:numFmt w:val="decimal"/>
      <w:lvlText w:val="%4."/>
      <w:lvlJc w:val="left"/>
      <w:pPr>
        <w:ind w:left="2585" w:hanging="360"/>
      </w:pPr>
    </w:lvl>
    <w:lvl w:ilvl="4" w:tplc="040C0019" w:tentative="1">
      <w:start w:val="1"/>
      <w:numFmt w:val="lowerLetter"/>
      <w:lvlText w:val="%5."/>
      <w:lvlJc w:val="left"/>
      <w:pPr>
        <w:ind w:left="3305" w:hanging="360"/>
      </w:pPr>
    </w:lvl>
    <w:lvl w:ilvl="5" w:tplc="040C001B" w:tentative="1">
      <w:start w:val="1"/>
      <w:numFmt w:val="lowerRoman"/>
      <w:lvlText w:val="%6."/>
      <w:lvlJc w:val="right"/>
      <w:pPr>
        <w:ind w:left="4025" w:hanging="180"/>
      </w:pPr>
    </w:lvl>
    <w:lvl w:ilvl="6" w:tplc="040C000F" w:tentative="1">
      <w:start w:val="1"/>
      <w:numFmt w:val="decimal"/>
      <w:lvlText w:val="%7."/>
      <w:lvlJc w:val="left"/>
      <w:pPr>
        <w:ind w:left="4745" w:hanging="360"/>
      </w:pPr>
    </w:lvl>
    <w:lvl w:ilvl="7" w:tplc="040C0019" w:tentative="1">
      <w:start w:val="1"/>
      <w:numFmt w:val="lowerLetter"/>
      <w:lvlText w:val="%8."/>
      <w:lvlJc w:val="left"/>
      <w:pPr>
        <w:ind w:left="5465" w:hanging="360"/>
      </w:pPr>
    </w:lvl>
    <w:lvl w:ilvl="8" w:tplc="040C001B" w:tentative="1">
      <w:start w:val="1"/>
      <w:numFmt w:val="lowerRoman"/>
      <w:lvlText w:val="%9."/>
      <w:lvlJc w:val="right"/>
      <w:pPr>
        <w:ind w:left="6185" w:hanging="180"/>
      </w:pPr>
    </w:lvl>
  </w:abstractNum>
  <w:abstractNum w:abstractNumId="1" w15:restartNumberingAfterBreak="0">
    <w:nsid w:val="07F74122"/>
    <w:multiLevelType w:val="hybridMultilevel"/>
    <w:tmpl w:val="0B8A10B6"/>
    <w:lvl w:ilvl="0" w:tplc="8CE46DF8">
      <w:start w:val="1"/>
      <w:numFmt w:val="decimal"/>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9C440C"/>
    <w:multiLevelType w:val="hybridMultilevel"/>
    <w:tmpl w:val="BE4E6B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2700224"/>
    <w:multiLevelType w:val="multilevel"/>
    <w:tmpl w:val="9B4C25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9E499F"/>
    <w:multiLevelType w:val="hybridMultilevel"/>
    <w:tmpl w:val="159C6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6E72B3"/>
    <w:multiLevelType w:val="multilevel"/>
    <w:tmpl w:val="2A6E72B3"/>
    <w:lvl w:ilvl="0">
      <w:start w:val="1"/>
      <w:numFmt w:val="bullet"/>
      <w:lvlText w:val="—"/>
      <w:lvlJc w:val="left"/>
      <w:pPr>
        <w:ind w:left="720" w:hanging="360"/>
      </w:pPr>
      <w:rPr>
        <w:rFonts w:ascii="GulimChe" w:eastAsia="GulimChe" w:hAnsi="GulimChe" w:hint="eastAsia"/>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EE538F"/>
    <w:multiLevelType w:val="multilevel"/>
    <w:tmpl w:val="2CEE538F"/>
    <w:lvl w:ilvl="0">
      <w:start w:val="1"/>
      <w:numFmt w:val="bullet"/>
      <w:lvlText w:val="—"/>
      <w:lvlJc w:val="left"/>
      <w:pPr>
        <w:ind w:left="720" w:hanging="360"/>
      </w:pPr>
      <w:rPr>
        <w:rFonts w:ascii="GulimChe" w:eastAsia="GulimChe" w:hAnsi="GulimChe" w:hint="eastAsia"/>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46928"/>
    <w:multiLevelType w:val="multilevel"/>
    <w:tmpl w:val="2FF46928"/>
    <w:lvl w:ilvl="0">
      <w:start w:val="13"/>
      <w:numFmt w:val="bullet"/>
      <w:lvlText w:val="-"/>
      <w:lvlJc w:val="left"/>
      <w:pPr>
        <w:ind w:left="1068" w:hanging="360"/>
      </w:pPr>
      <w:rPr>
        <w:rFonts w:ascii="Arial Narrow" w:eastAsia="Times New Roman" w:hAnsi="Arial Narrow"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8" w15:restartNumberingAfterBreak="0">
    <w:nsid w:val="384E483D"/>
    <w:multiLevelType w:val="hybridMultilevel"/>
    <w:tmpl w:val="AFAE4452"/>
    <w:lvl w:ilvl="0" w:tplc="DEF6271C">
      <w:numFmt w:val="bullet"/>
      <w:lvlText w:val="-"/>
      <w:lvlJc w:val="left"/>
      <w:pPr>
        <w:ind w:left="643" w:hanging="360"/>
      </w:pPr>
      <w:rPr>
        <w:rFonts w:ascii="Times New Roman" w:eastAsiaTheme="minorEastAsia"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9" w15:restartNumberingAfterBreak="0">
    <w:nsid w:val="481C250A"/>
    <w:multiLevelType w:val="multilevel"/>
    <w:tmpl w:val="481C250A"/>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EF3379"/>
    <w:multiLevelType w:val="hybridMultilevel"/>
    <w:tmpl w:val="BC7A29D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5A862033"/>
    <w:multiLevelType w:val="multilevel"/>
    <w:tmpl w:val="5A862033"/>
    <w:lvl w:ilvl="0">
      <w:start w:val="1"/>
      <w:numFmt w:val="decimal"/>
      <w:lvlText w:val="%1)"/>
      <w:lvlJc w:val="left"/>
      <w:pPr>
        <w:ind w:left="720" w:hanging="360"/>
      </w:pPr>
      <w:rPr>
        <w:rFonts w:hint="default"/>
      </w:rPr>
    </w:lvl>
    <w:lvl w:ilvl="1">
      <w:start w:val="76"/>
      <w:numFmt w:val="bullet"/>
      <w:lvlText w:val="-"/>
      <w:lvlJc w:val="left"/>
      <w:pPr>
        <w:ind w:left="1440" w:hanging="360"/>
      </w:pPr>
      <w:rPr>
        <w:rFonts w:ascii="Calibri" w:eastAsiaTheme="minorHAnsi" w:hAnsi="Calibri" w:cs="Calibri" w:hint="default"/>
      </w:rPr>
    </w:lvl>
    <w:lvl w:ilvl="2">
      <w:start w:val="78"/>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2F4840"/>
    <w:multiLevelType w:val="multilevel"/>
    <w:tmpl w:val="5C2F4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5B3572"/>
    <w:multiLevelType w:val="multilevel"/>
    <w:tmpl w:val="5D5B3572"/>
    <w:lvl w:ilvl="0">
      <w:start w:val="1"/>
      <w:numFmt w:val="bullet"/>
      <w:lvlText w:val="-"/>
      <w:lvlJc w:val="left"/>
      <w:pPr>
        <w:ind w:left="916" w:hanging="360"/>
      </w:pPr>
      <w:rPr>
        <w:rFonts w:ascii="Times New Roman" w:eastAsia="Times New Roman" w:hAnsi="Times New Roman" w:cs="Times New Roman" w:hint="default"/>
      </w:rPr>
    </w:lvl>
    <w:lvl w:ilvl="1">
      <w:start w:val="1"/>
      <w:numFmt w:val="bullet"/>
      <w:lvlText w:val="o"/>
      <w:lvlJc w:val="left"/>
      <w:pPr>
        <w:ind w:left="1636" w:hanging="360"/>
      </w:pPr>
      <w:rPr>
        <w:rFonts w:ascii="Courier New" w:hAnsi="Courier New" w:cs="Courier New" w:hint="default"/>
      </w:rPr>
    </w:lvl>
    <w:lvl w:ilvl="2">
      <w:start w:val="1"/>
      <w:numFmt w:val="bullet"/>
      <w:lvlText w:val=""/>
      <w:lvlJc w:val="left"/>
      <w:pPr>
        <w:ind w:left="2356" w:hanging="360"/>
      </w:pPr>
      <w:rPr>
        <w:rFonts w:ascii="Wingdings" w:hAnsi="Wingdings" w:hint="default"/>
      </w:rPr>
    </w:lvl>
    <w:lvl w:ilvl="3">
      <w:start w:val="1"/>
      <w:numFmt w:val="bullet"/>
      <w:lvlText w:val=""/>
      <w:lvlJc w:val="left"/>
      <w:pPr>
        <w:ind w:left="3076" w:hanging="360"/>
      </w:pPr>
      <w:rPr>
        <w:rFonts w:ascii="Symbol" w:hAnsi="Symbol" w:hint="default"/>
      </w:rPr>
    </w:lvl>
    <w:lvl w:ilvl="4">
      <w:start w:val="1"/>
      <w:numFmt w:val="bullet"/>
      <w:lvlText w:val="o"/>
      <w:lvlJc w:val="left"/>
      <w:pPr>
        <w:ind w:left="3796" w:hanging="360"/>
      </w:pPr>
      <w:rPr>
        <w:rFonts w:ascii="Courier New" w:hAnsi="Courier New" w:cs="Courier New" w:hint="default"/>
      </w:rPr>
    </w:lvl>
    <w:lvl w:ilvl="5">
      <w:start w:val="1"/>
      <w:numFmt w:val="bullet"/>
      <w:lvlText w:val=""/>
      <w:lvlJc w:val="left"/>
      <w:pPr>
        <w:ind w:left="4516" w:hanging="360"/>
      </w:pPr>
      <w:rPr>
        <w:rFonts w:ascii="Wingdings" w:hAnsi="Wingdings" w:hint="default"/>
      </w:rPr>
    </w:lvl>
    <w:lvl w:ilvl="6">
      <w:start w:val="1"/>
      <w:numFmt w:val="bullet"/>
      <w:lvlText w:val=""/>
      <w:lvlJc w:val="left"/>
      <w:pPr>
        <w:ind w:left="5236" w:hanging="360"/>
      </w:pPr>
      <w:rPr>
        <w:rFonts w:ascii="Symbol" w:hAnsi="Symbol" w:hint="default"/>
      </w:rPr>
    </w:lvl>
    <w:lvl w:ilvl="7">
      <w:start w:val="1"/>
      <w:numFmt w:val="bullet"/>
      <w:lvlText w:val="o"/>
      <w:lvlJc w:val="left"/>
      <w:pPr>
        <w:ind w:left="5956" w:hanging="360"/>
      </w:pPr>
      <w:rPr>
        <w:rFonts w:ascii="Courier New" w:hAnsi="Courier New" w:cs="Courier New" w:hint="default"/>
      </w:rPr>
    </w:lvl>
    <w:lvl w:ilvl="8">
      <w:start w:val="1"/>
      <w:numFmt w:val="bullet"/>
      <w:lvlText w:val=""/>
      <w:lvlJc w:val="left"/>
      <w:pPr>
        <w:ind w:left="6676" w:hanging="360"/>
      </w:pPr>
      <w:rPr>
        <w:rFonts w:ascii="Wingdings" w:hAnsi="Wingdings" w:hint="default"/>
      </w:rPr>
    </w:lvl>
  </w:abstractNum>
  <w:abstractNum w:abstractNumId="14" w15:restartNumberingAfterBreak="0">
    <w:nsid w:val="6C932222"/>
    <w:multiLevelType w:val="hybridMultilevel"/>
    <w:tmpl w:val="55A2C3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BB4B30"/>
    <w:multiLevelType w:val="multilevel"/>
    <w:tmpl w:val="7DBB4B3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7"/>
  </w:num>
  <w:num w:numId="5">
    <w:abstractNumId w:val="13"/>
  </w:num>
  <w:num w:numId="6">
    <w:abstractNumId w:val="9"/>
  </w:num>
  <w:num w:numId="7">
    <w:abstractNumId w:val="11"/>
  </w:num>
  <w:num w:numId="8">
    <w:abstractNumId w:val="6"/>
  </w:num>
  <w:num w:numId="9">
    <w:abstractNumId w:val="1"/>
  </w:num>
  <w:num w:numId="10">
    <w:abstractNumId w:val="0"/>
  </w:num>
  <w:num w:numId="11">
    <w:abstractNumId w:val="10"/>
  </w:num>
  <w:num w:numId="12">
    <w:abstractNumId w:val="8"/>
  </w:num>
  <w:num w:numId="13">
    <w:abstractNumId w:val="2"/>
  </w:num>
  <w:num w:numId="14">
    <w:abstractNumId w:val="4"/>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D1"/>
    <w:rsid w:val="00005B4D"/>
    <w:rsid w:val="0001746D"/>
    <w:rsid w:val="00026CEA"/>
    <w:rsid w:val="00036579"/>
    <w:rsid w:val="00051BEF"/>
    <w:rsid w:val="00054807"/>
    <w:rsid w:val="00054916"/>
    <w:rsid w:val="00076A36"/>
    <w:rsid w:val="0008406D"/>
    <w:rsid w:val="00091F44"/>
    <w:rsid w:val="000A01A6"/>
    <w:rsid w:val="000A54A4"/>
    <w:rsid w:val="000A6BCC"/>
    <w:rsid w:val="000A7B25"/>
    <w:rsid w:val="000B08BE"/>
    <w:rsid w:val="000B43F1"/>
    <w:rsid w:val="000C50C7"/>
    <w:rsid w:val="000C62CE"/>
    <w:rsid w:val="000C6FF1"/>
    <w:rsid w:val="000C7A0D"/>
    <w:rsid w:val="000D6579"/>
    <w:rsid w:val="000D6644"/>
    <w:rsid w:val="000E0BA5"/>
    <w:rsid w:val="000E1A9D"/>
    <w:rsid w:val="000E451B"/>
    <w:rsid w:val="000F6170"/>
    <w:rsid w:val="00105171"/>
    <w:rsid w:val="00133B91"/>
    <w:rsid w:val="00142DAB"/>
    <w:rsid w:val="001453CD"/>
    <w:rsid w:val="001606FC"/>
    <w:rsid w:val="00162A97"/>
    <w:rsid w:val="00176786"/>
    <w:rsid w:val="00182177"/>
    <w:rsid w:val="001968A4"/>
    <w:rsid w:val="001A2FFD"/>
    <w:rsid w:val="001B6083"/>
    <w:rsid w:val="001C2DB1"/>
    <w:rsid w:val="001D3ECC"/>
    <w:rsid w:val="001E210F"/>
    <w:rsid w:val="001F7CB4"/>
    <w:rsid w:val="0020343F"/>
    <w:rsid w:val="00206291"/>
    <w:rsid w:val="0022162E"/>
    <w:rsid w:val="00236E78"/>
    <w:rsid w:val="0024048A"/>
    <w:rsid w:val="00260966"/>
    <w:rsid w:val="002753DF"/>
    <w:rsid w:val="00275ED6"/>
    <w:rsid w:val="00282427"/>
    <w:rsid w:val="002850BC"/>
    <w:rsid w:val="00296829"/>
    <w:rsid w:val="002A7B61"/>
    <w:rsid w:val="002D1DF1"/>
    <w:rsid w:val="002D28D1"/>
    <w:rsid w:val="002E25B4"/>
    <w:rsid w:val="002E2F07"/>
    <w:rsid w:val="00301296"/>
    <w:rsid w:val="00301D99"/>
    <w:rsid w:val="00302751"/>
    <w:rsid w:val="00303D91"/>
    <w:rsid w:val="00312BED"/>
    <w:rsid w:val="0031394C"/>
    <w:rsid w:val="00322D78"/>
    <w:rsid w:val="00323840"/>
    <w:rsid w:val="003279DB"/>
    <w:rsid w:val="00351140"/>
    <w:rsid w:val="0036799D"/>
    <w:rsid w:val="00367B48"/>
    <w:rsid w:val="00372C20"/>
    <w:rsid w:val="00380DEA"/>
    <w:rsid w:val="00382073"/>
    <w:rsid w:val="00386FB7"/>
    <w:rsid w:val="00391E34"/>
    <w:rsid w:val="003A06B0"/>
    <w:rsid w:val="003A6FAC"/>
    <w:rsid w:val="003A7E53"/>
    <w:rsid w:val="003B71FE"/>
    <w:rsid w:val="003C485A"/>
    <w:rsid w:val="003E4BFB"/>
    <w:rsid w:val="003E514A"/>
    <w:rsid w:val="003F7F5E"/>
    <w:rsid w:val="00400FBF"/>
    <w:rsid w:val="00401F1C"/>
    <w:rsid w:val="004059FB"/>
    <w:rsid w:val="00410CAE"/>
    <w:rsid w:val="00421BD5"/>
    <w:rsid w:val="00425928"/>
    <w:rsid w:val="00425C47"/>
    <w:rsid w:val="00460739"/>
    <w:rsid w:val="0046332F"/>
    <w:rsid w:val="004677EA"/>
    <w:rsid w:val="0048721C"/>
    <w:rsid w:val="004A0C0F"/>
    <w:rsid w:val="004A461F"/>
    <w:rsid w:val="004E021E"/>
    <w:rsid w:val="004E2C2E"/>
    <w:rsid w:val="004F58DF"/>
    <w:rsid w:val="00513E67"/>
    <w:rsid w:val="00514773"/>
    <w:rsid w:val="0052248D"/>
    <w:rsid w:val="0052392B"/>
    <w:rsid w:val="00531302"/>
    <w:rsid w:val="0053635F"/>
    <w:rsid w:val="00540C17"/>
    <w:rsid w:val="00556DD5"/>
    <w:rsid w:val="005645B5"/>
    <w:rsid w:val="00574436"/>
    <w:rsid w:val="00577187"/>
    <w:rsid w:val="00582D30"/>
    <w:rsid w:val="00586C42"/>
    <w:rsid w:val="005971A4"/>
    <w:rsid w:val="005B1DC3"/>
    <w:rsid w:val="005B2030"/>
    <w:rsid w:val="005B2B1C"/>
    <w:rsid w:val="005B6C21"/>
    <w:rsid w:val="005C2981"/>
    <w:rsid w:val="005D4949"/>
    <w:rsid w:val="005D588F"/>
    <w:rsid w:val="005E014B"/>
    <w:rsid w:val="005F0DD9"/>
    <w:rsid w:val="00611020"/>
    <w:rsid w:val="00615AF1"/>
    <w:rsid w:val="0063320F"/>
    <w:rsid w:val="0063797F"/>
    <w:rsid w:val="00650AAC"/>
    <w:rsid w:val="00686DDA"/>
    <w:rsid w:val="006920FF"/>
    <w:rsid w:val="006C1E6F"/>
    <w:rsid w:val="006C4B91"/>
    <w:rsid w:val="006C4BF4"/>
    <w:rsid w:val="006E21CC"/>
    <w:rsid w:val="006E3043"/>
    <w:rsid w:val="006E6A57"/>
    <w:rsid w:val="006F589D"/>
    <w:rsid w:val="00703425"/>
    <w:rsid w:val="007065FE"/>
    <w:rsid w:val="0071125F"/>
    <w:rsid w:val="0071152D"/>
    <w:rsid w:val="00713446"/>
    <w:rsid w:val="00715931"/>
    <w:rsid w:val="007206D7"/>
    <w:rsid w:val="007273F5"/>
    <w:rsid w:val="00735518"/>
    <w:rsid w:val="0074694A"/>
    <w:rsid w:val="00750AB3"/>
    <w:rsid w:val="00750B1A"/>
    <w:rsid w:val="007524F2"/>
    <w:rsid w:val="0075653B"/>
    <w:rsid w:val="00760E60"/>
    <w:rsid w:val="00766CCA"/>
    <w:rsid w:val="00780A9D"/>
    <w:rsid w:val="00786C26"/>
    <w:rsid w:val="00787A65"/>
    <w:rsid w:val="00791C2D"/>
    <w:rsid w:val="007D45A2"/>
    <w:rsid w:val="007D49CC"/>
    <w:rsid w:val="007D51FE"/>
    <w:rsid w:val="007E369A"/>
    <w:rsid w:val="007F46D4"/>
    <w:rsid w:val="00803AA6"/>
    <w:rsid w:val="00833B55"/>
    <w:rsid w:val="00840BCB"/>
    <w:rsid w:val="00851942"/>
    <w:rsid w:val="0086789C"/>
    <w:rsid w:val="00867920"/>
    <w:rsid w:val="00872A9D"/>
    <w:rsid w:val="00874268"/>
    <w:rsid w:val="00880306"/>
    <w:rsid w:val="00885D61"/>
    <w:rsid w:val="008904D6"/>
    <w:rsid w:val="008914C3"/>
    <w:rsid w:val="00903D37"/>
    <w:rsid w:val="0090577E"/>
    <w:rsid w:val="00907101"/>
    <w:rsid w:val="009071EC"/>
    <w:rsid w:val="009105D2"/>
    <w:rsid w:val="00922591"/>
    <w:rsid w:val="00931216"/>
    <w:rsid w:val="00931C3D"/>
    <w:rsid w:val="00935069"/>
    <w:rsid w:val="00937BE7"/>
    <w:rsid w:val="0095144F"/>
    <w:rsid w:val="009545BA"/>
    <w:rsid w:val="0096670B"/>
    <w:rsid w:val="00985237"/>
    <w:rsid w:val="009873F8"/>
    <w:rsid w:val="009A2E63"/>
    <w:rsid w:val="009B3538"/>
    <w:rsid w:val="009C1D99"/>
    <w:rsid w:val="009C53D7"/>
    <w:rsid w:val="009C66EA"/>
    <w:rsid w:val="009F362F"/>
    <w:rsid w:val="00A028ED"/>
    <w:rsid w:val="00A066E7"/>
    <w:rsid w:val="00A12842"/>
    <w:rsid w:val="00A44E04"/>
    <w:rsid w:val="00A477D7"/>
    <w:rsid w:val="00A5709C"/>
    <w:rsid w:val="00A57D37"/>
    <w:rsid w:val="00A636D9"/>
    <w:rsid w:val="00A703EE"/>
    <w:rsid w:val="00A715C2"/>
    <w:rsid w:val="00A93D5F"/>
    <w:rsid w:val="00AA123D"/>
    <w:rsid w:val="00AA5C7F"/>
    <w:rsid w:val="00AB7B47"/>
    <w:rsid w:val="00AC1769"/>
    <w:rsid w:val="00AD2BFE"/>
    <w:rsid w:val="00AD4E38"/>
    <w:rsid w:val="00AD56CB"/>
    <w:rsid w:val="00B10E5C"/>
    <w:rsid w:val="00B1359D"/>
    <w:rsid w:val="00B15262"/>
    <w:rsid w:val="00B16605"/>
    <w:rsid w:val="00B2514B"/>
    <w:rsid w:val="00B25BB5"/>
    <w:rsid w:val="00B4107C"/>
    <w:rsid w:val="00B54A51"/>
    <w:rsid w:val="00B55A25"/>
    <w:rsid w:val="00B626B5"/>
    <w:rsid w:val="00B63CE5"/>
    <w:rsid w:val="00B67DD0"/>
    <w:rsid w:val="00B74A64"/>
    <w:rsid w:val="00B90BD3"/>
    <w:rsid w:val="00B9120A"/>
    <w:rsid w:val="00B9121B"/>
    <w:rsid w:val="00BA0231"/>
    <w:rsid w:val="00BC1E06"/>
    <w:rsid w:val="00BC2A15"/>
    <w:rsid w:val="00BD7F7B"/>
    <w:rsid w:val="00BE55A5"/>
    <w:rsid w:val="00C11A93"/>
    <w:rsid w:val="00C144FF"/>
    <w:rsid w:val="00C2098B"/>
    <w:rsid w:val="00C3347F"/>
    <w:rsid w:val="00C3473E"/>
    <w:rsid w:val="00C34C8C"/>
    <w:rsid w:val="00C40F81"/>
    <w:rsid w:val="00C628A3"/>
    <w:rsid w:val="00C675CF"/>
    <w:rsid w:val="00C755A8"/>
    <w:rsid w:val="00C9144C"/>
    <w:rsid w:val="00C937E4"/>
    <w:rsid w:val="00CA32BF"/>
    <w:rsid w:val="00CB12D7"/>
    <w:rsid w:val="00CC766E"/>
    <w:rsid w:val="00CD796A"/>
    <w:rsid w:val="00CE647F"/>
    <w:rsid w:val="00CE79BF"/>
    <w:rsid w:val="00D10069"/>
    <w:rsid w:val="00D13999"/>
    <w:rsid w:val="00D234FD"/>
    <w:rsid w:val="00D23D71"/>
    <w:rsid w:val="00D3362A"/>
    <w:rsid w:val="00D451FC"/>
    <w:rsid w:val="00D47258"/>
    <w:rsid w:val="00D60128"/>
    <w:rsid w:val="00D822F8"/>
    <w:rsid w:val="00D916EA"/>
    <w:rsid w:val="00D96A9B"/>
    <w:rsid w:val="00D9759D"/>
    <w:rsid w:val="00DB2CD1"/>
    <w:rsid w:val="00DC1DB2"/>
    <w:rsid w:val="00DC320F"/>
    <w:rsid w:val="00DD1498"/>
    <w:rsid w:val="00DE06EB"/>
    <w:rsid w:val="00DE20D4"/>
    <w:rsid w:val="00DE77A6"/>
    <w:rsid w:val="00DF311D"/>
    <w:rsid w:val="00DF4493"/>
    <w:rsid w:val="00E05EF8"/>
    <w:rsid w:val="00E05F70"/>
    <w:rsid w:val="00E06A9C"/>
    <w:rsid w:val="00E10A77"/>
    <w:rsid w:val="00E235BA"/>
    <w:rsid w:val="00E43304"/>
    <w:rsid w:val="00E46031"/>
    <w:rsid w:val="00E5449A"/>
    <w:rsid w:val="00E66A81"/>
    <w:rsid w:val="00E74808"/>
    <w:rsid w:val="00E76D8B"/>
    <w:rsid w:val="00E825C2"/>
    <w:rsid w:val="00E836B3"/>
    <w:rsid w:val="00EC1643"/>
    <w:rsid w:val="00EC2567"/>
    <w:rsid w:val="00EC2ACA"/>
    <w:rsid w:val="00EC348D"/>
    <w:rsid w:val="00ED3FDE"/>
    <w:rsid w:val="00EE729D"/>
    <w:rsid w:val="00EF0736"/>
    <w:rsid w:val="00EF0BF7"/>
    <w:rsid w:val="00EF3A9F"/>
    <w:rsid w:val="00F02AA2"/>
    <w:rsid w:val="00F215BD"/>
    <w:rsid w:val="00F22061"/>
    <w:rsid w:val="00F31E1B"/>
    <w:rsid w:val="00F43DD8"/>
    <w:rsid w:val="00F462C3"/>
    <w:rsid w:val="00F54BB9"/>
    <w:rsid w:val="00FC1720"/>
    <w:rsid w:val="00FC314C"/>
    <w:rsid w:val="00FD0FA5"/>
    <w:rsid w:val="00FE29E2"/>
    <w:rsid w:val="00FE2B8A"/>
    <w:rsid w:val="3616725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2A8F25"/>
  <w15:docId w15:val="{F42B92CE-954D-440C-9130-722C315F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paragraph" w:styleId="Lgende">
    <w:name w:val="caption"/>
    <w:basedOn w:val="Normal"/>
    <w:next w:val="Normal"/>
    <w:link w:val="LgendeCar"/>
    <w:uiPriority w:val="35"/>
    <w:unhideWhenUsed/>
    <w:qFormat/>
    <w:pPr>
      <w:spacing w:after="0" w:line="240" w:lineRule="auto"/>
    </w:pPr>
    <w:rPr>
      <w:rFonts w:ascii="Constantia" w:eastAsia="Times New Roman" w:hAnsi="Constantia" w:cs="Calibri"/>
      <w:b/>
      <w:bCs/>
      <w:sz w:val="20"/>
      <w:szCs w:val="20"/>
      <w:lang w:eastAsia="fr-FR"/>
    </w:rPr>
  </w:style>
  <w:style w:type="character" w:styleId="Marquedecommentaire">
    <w:name w:val="annotation reference"/>
    <w:basedOn w:val="Policepardfaut"/>
    <w:qFormat/>
    <w:rPr>
      <w:rFonts w:cs="Times New Roman"/>
      <w:sz w:val="16"/>
      <w:szCs w:val="16"/>
    </w:rPr>
  </w:style>
  <w:style w:type="paragraph" w:styleId="Commentaire">
    <w:name w:val="annotation text"/>
    <w:basedOn w:val="Normal"/>
    <w:link w:val="CommentaireCar"/>
    <w:qFormat/>
    <w:pPr>
      <w:spacing w:after="200" w:line="240" w:lineRule="auto"/>
      <w:ind w:left="576" w:hanging="576"/>
      <w:jc w:val="both"/>
    </w:pPr>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qFormat/>
    <w:pPr>
      <w:spacing w:after="160"/>
      <w:ind w:left="0" w:firstLine="0"/>
      <w:jc w:val="left"/>
    </w:pPr>
    <w:rPr>
      <w:rFonts w:asciiTheme="minorHAnsi" w:eastAsiaTheme="minorHAnsi" w:hAnsiTheme="minorHAnsi" w:cstheme="minorBidi"/>
      <w:b/>
      <w:bCs/>
      <w:lang w:eastAsia="en-US"/>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aliases w:val="Citation List,본문(내용),List Paragraph (numbered (a)),Bullets,Liste 1,References,ReferencesCxSpLast,List Paragraph nowy,Numbered List Paragraph,Colorful List - Accent 11,List Bullet Mary,List Paragraph1,List_Paragraph,Akapit z listą BS"/>
    <w:basedOn w:val="Normal"/>
    <w:link w:val="ParagraphedelisteCar"/>
    <w:uiPriority w:val="34"/>
    <w:qFormat/>
    <w:pPr>
      <w:spacing w:after="200" w:line="240" w:lineRule="auto"/>
      <w:ind w:left="720" w:hanging="576"/>
      <w:contextualSpacing/>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Citation List Car,본문(내용) Car,List Paragraph (numbered (a)) Car,Bullets Car,Liste 1 Car,References Car,ReferencesCxSpLast Car,List Paragraph nowy Car,Numbered List Paragraph Car,Colorful List - Accent 11 Car,List Bullet Mary Car"/>
    <w:basedOn w:val="Policepardfaut"/>
    <w:link w:val="Paragraphedeliste"/>
    <w:uiPriority w:val="34"/>
    <w:qFormat/>
    <w:locked/>
    <w:rPr>
      <w:rFonts w:ascii="Times New Roman" w:eastAsia="Times New Roman" w:hAnsi="Times New Roman" w:cs="Times New Roman"/>
      <w:sz w:val="24"/>
      <w:szCs w:val="20"/>
      <w:lang w:eastAsia="fr-FR"/>
    </w:rPr>
  </w:style>
  <w:style w:type="paragraph" w:customStyle="1" w:styleId="Revision1">
    <w:name w:val="Revision1"/>
    <w:hidden/>
    <w:uiPriority w:val="99"/>
    <w:semiHidden/>
    <w:rPr>
      <w:sz w:val="22"/>
      <w:szCs w:val="22"/>
      <w:lang w:val="fr-FR"/>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paragraph" w:customStyle="1" w:styleId="Normal4">
    <w:name w:val="Normal_4"/>
    <w:qFormat/>
    <w:pPr>
      <w:spacing w:after="160" w:line="259" w:lineRule="auto"/>
      <w:outlineLvl w:val="3"/>
    </w:pPr>
    <w:rPr>
      <w:rFonts w:ascii="Calibri" w:hAnsi="Calibri"/>
      <w:b/>
      <w:color w:val="172D5F"/>
      <w:sz w:val="22"/>
      <w:szCs w:val="22"/>
    </w:rPr>
  </w:style>
  <w:style w:type="character" w:customStyle="1" w:styleId="LgendeCar">
    <w:name w:val="Légende Car"/>
    <w:basedOn w:val="Policepardfaut"/>
    <w:link w:val="Lgende"/>
    <w:uiPriority w:val="35"/>
    <w:qFormat/>
    <w:rPr>
      <w:rFonts w:ascii="Constantia" w:eastAsia="Times New Roman" w:hAnsi="Constantia" w:cs="Calibri"/>
      <w:b/>
      <w:bCs/>
      <w:sz w:val="20"/>
      <w:szCs w:val="20"/>
      <w:lang w:eastAsia="fr-FR"/>
    </w:rPr>
  </w:style>
  <w:style w:type="character" w:customStyle="1" w:styleId="CommentaireCar">
    <w:name w:val="Commentaire Car"/>
    <w:basedOn w:val="Policepardfaut"/>
    <w:link w:val="Commentaire"/>
    <w:qFormat/>
    <w:rPr>
      <w:rFonts w:ascii="Times New Roman" w:eastAsia="Times New Roman" w:hAnsi="Times New Roman" w:cs="Times New Roman"/>
      <w:sz w:val="20"/>
      <w:szCs w:val="20"/>
      <w:lang w:eastAsia="fr-FR"/>
    </w:rPr>
  </w:style>
  <w:style w:type="table" w:customStyle="1" w:styleId="TableGrid">
    <w:name w:val="TableGrid"/>
    <w:qFormat/>
    <w:rPr>
      <w:lang w:eastAsia="fr-FR"/>
    </w:rPr>
    <w:tblPr>
      <w:tblCellMar>
        <w:top w:w="0" w:type="dxa"/>
        <w:left w:w="0" w:type="dxa"/>
        <w:bottom w:w="0" w:type="dxa"/>
        <w:right w:w="0" w:type="dxa"/>
      </w:tblCellMar>
    </w:tblPr>
  </w:style>
  <w:style w:type="character" w:customStyle="1" w:styleId="ObjetducommentaireCar">
    <w:name w:val="Objet du commentaire Car"/>
    <w:basedOn w:val="CommentaireCar"/>
    <w:link w:val="Objetducommentaire"/>
    <w:uiPriority w:val="99"/>
    <w:semiHidden/>
    <w:qFormat/>
    <w:rPr>
      <w:rFonts w:ascii="Times New Roman" w:eastAsia="Times New Roman" w:hAnsi="Times New Roman" w:cs="Times New Roman"/>
      <w:b/>
      <w:bCs/>
      <w:sz w:val="20"/>
      <w:szCs w:val="20"/>
      <w:lang w:eastAsia="fr-FR"/>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paragraph" w:styleId="Rvision">
    <w:name w:val="Revision"/>
    <w:hidden/>
    <w:uiPriority w:val="99"/>
    <w:unhideWhenUsed/>
    <w:rsid w:val="00A715C2"/>
    <w:rPr>
      <w:sz w:val="22"/>
      <w:szCs w:val="22"/>
      <w:lang w:val="fr-FR"/>
    </w:rPr>
  </w:style>
  <w:style w:type="paragraph" w:customStyle="1" w:styleId="BankNormal">
    <w:name w:val="BankNormal"/>
    <w:basedOn w:val="Normal"/>
    <w:rsid w:val="00EC1643"/>
    <w:pPr>
      <w:spacing w:after="240" w:line="240" w:lineRule="auto"/>
    </w:pPr>
    <w:rPr>
      <w:rFonts w:ascii="Times New Roman" w:eastAsia="Times New Roman" w:hAnsi="Times New Roman" w:cs="Times New Roman"/>
      <w:sz w:val="24"/>
      <w:szCs w:val="20"/>
      <w:lang w:val="en-US"/>
    </w:rPr>
  </w:style>
  <w:style w:type="character" w:styleId="Mentionnonrsolue">
    <w:name w:val="Unresolved Mention"/>
    <w:basedOn w:val="Policepardfaut"/>
    <w:uiPriority w:val="99"/>
    <w:semiHidden/>
    <w:unhideWhenUsed/>
    <w:rsid w:val="00F31E1B"/>
    <w:rPr>
      <w:color w:val="605E5C"/>
      <w:shd w:val="clear" w:color="auto" w:fill="E1DFDD"/>
    </w:rPr>
  </w:style>
  <w:style w:type="character" w:styleId="Appelnotedebasdep">
    <w:name w:val="footnote reference"/>
    <w:aliases w:val=" BVI fnr,BVI fnr,Estilo de nota al pie de Africa,FO,Footnote Reference Number,Footnote Reference_LVL6,Footnote Reference_LVL61,Footnote Reference_LVL62,Footnote Reference_LVL63,Footnote Reference_LVL64,Ref,ftref,16 Point,Footnote"/>
    <w:link w:val="BVIfnrCarCarCarCarChar"/>
    <w:uiPriority w:val="99"/>
    <w:unhideWhenUsed/>
    <w:qFormat/>
    <w:rsid w:val="00A12842"/>
    <w:rPr>
      <w:vertAlign w:val="superscript"/>
    </w:rPr>
  </w:style>
  <w:style w:type="paragraph" w:customStyle="1" w:styleId="BVIfnrCarCarCarCarChar">
    <w:name w:val="BVI fnr Car Car Car Car Char"/>
    <w:aliases w:val=" BVI fnr Car Car, BVI fnr Car Car Car Car Char,BVI fnr Car,BVI fnr Car Car,BVI fnr Car Car Car Car Char Char,de nota al pi,footnote number Char"/>
    <w:basedOn w:val="Normal"/>
    <w:link w:val="Appelnotedebasdep"/>
    <w:uiPriority w:val="99"/>
    <w:qFormat/>
    <w:rsid w:val="00A12842"/>
    <w:pPr>
      <w:spacing w:after="120" w:line="240" w:lineRule="exact"/>
      <w:jc w:val="both"/>
    </w:pPr>
    <w:rPr>
      <w:sz w:val="20"/>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facebook.com/segguineeconakr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allareny.diallo@segguin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camara@segguine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issata.kaba@outlook.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1700</Words>
  <Characters>9351</Characters>
  <Application>Microsoft Office Word</Application>
  <DocSecurity>0</DocSecurity>
  <Lines>77</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 DIARRA</dc:creator>
  <cp:lastModifiedBy>HP</cp:lastModifiedBy>
  <cp:revision>12</cp:revision>
  <cp:lastPrinted>2026-01-16T15:00:00Z</cp:lastPrinted>
  <dcterms:created xsi:type="dcterms:W3CDTF">2026-01-16T14:38:00Z</dcterms:created>
  <dcterms:modified xsi:type="dcterms:W3CDTF">2026-01-16T16:04:00Z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715F33C764B145E4B577F8AEE2235E58_13</vt:lpwstr>
  </property>
  <property fmtid="{D5CDD505-2E9C-101B-9397-08002B2CF9AE}" pid="4" name="ClassificationContentMarkingFooterShapeIds">
    <vt:lpwstr>680bcc11,33ff2fdd,5784823d</vt:lpwstr>
  </property>
  <property fmtid="{D5CDD505-2E9C-101B-9397-08002B2CF9AE}" pid="5" name="ClassificationContentMarkingFooterFontProps">
    <vt:lpwstr>#000000,10,Aptos</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2025-12-10T09:48:34Z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6c0efa24-a686-4d17-9ceb-c5b7f9066ff4</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ies>
</file>