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DF17B" w14:textId="77777777" w:rsidR="001E210F" w:rsidRPr="00A028ED" w:rsidRDefault="001E210F" w:rsidP="00437801">
      <w:pPr>
        <w:spacing w:after="0" w:line="240" w:lineRule="auto"/>
        <w:jc w:val="center"/>
        <w:outlineLvl w:val="0"/>
        <w:rPr>
          <w:rFonts w:ascii="Century Gothic" w:eastAsia="Times New Roman" w:hAnsi="Century Gothic" w:cs="Times New Roman"/>
          <w:b/>
          <w:sz w:val="28"/>
          <w:szCs w:val="28"/>
          <w:lang w:eastAsia="fr-FR"/>
        </w:rPr>
      </w:pPr>
      <w:r w:rsidRPr="00A028ED">
        <w:rPr>
          <w:rFonts w:ascii="Century Gothic" w:eastAsia="Times New Roman" w:hAnsi="Century Gothic" w:cs="Times New Roman"/>
          <w:b/>
          <w:sz w:val="32"/>
          <w:szCs w:val="32"/>
          <w:lang w:eastAsia="fr-FR"/>
        </w:rPr>
        <w:t>R</w:t>
      </w:r>
      <w:r w:rsidRPr="00A028ED">
        <w:rPr>
          <w:rFonts w:ascii="Century Gothic" w:eastAsia="Times New Roman" w:hAnsi="Century Gothic" w:cs="Times New Roman"/>
          <w:b/>
          <w:sz w:val="28"/>
          <w:szCs w:val="28"/>
          <w:lang w:eastAsia="fr-FR"/>
        </w:rPr>
        <w:t xml:space="preserve">EPUBLIQUE DE </w:t>
      </w:r>
      <w:r w:rsidRPr="00A028ED">
        <w:rPr>
          <w:rFonts w:ascii="Century Gothic" w:eastAsia="Times New Roman" w:hAnsi="Century Gothic" w:cs="Times New Roman"/>
          <w:b/>
          <w:sz w:val="32"/>
          <w:szCs w:val="32"/>
          <w:lang w:eastAsia="fr-FR"/>
        </w:rPr>
        <w:t>G</w:t>
      </w:r>
      <w:r w:rsidRPr="00A028ED">
        <w:rPr>
          <w:rFonts w:ascii="Century Gothic" w:eastAsia="Times New Roman" w:hAnsi="Century Gothic" w:cs="Times New Roman"/>
          <w:b/>
          <w:sz w:val="28"/>
          <w:szCs w:val="28"/>
          <w:lang w:eastAsia="fr-FR"/>
        </w:rPr>
        <w:t>UINEE</w:t>
      </w:r>
    </w:p>
    <w:p w14:paraId="1695FDC3" w14:textId="77777777" w:rsidR="001E210F" w:rsidRPr="00A028ED" w:rsidRDefault="001E210F" w:rsidP="001E210F">
      <w:pPr>
        <w:spacing w:after="0" w:line="240" w:lineRule="auto"/>
        <w:jc w:val="center"/>
        <w:rPr>
          <w:rFonts w:ascii="Century Gothic" w:eastAsia="Times New Roman" w:hAnsi="Century Gothic" w:cs="Times New Roman"/>
          <w:b/>
          <w:i/>
          <w:szCs w:val="24"/>
          <w:lang w:eastAsia="fr-FR"/>
        </w:rPr>
      </w:pPr>
    </w:p>
    <w:p w14:paraId="1334E1E8" w14:textId="77777777" w:rsidR="001E210F" w:rsidRPr="00A028ED" w:rsidRDefault="001E210F" w:rsidP="00437801">
      <w:pPr>
        <w:spacing w:after="0" w:line="240" w:lineRule="auto"/>
        <w:jc w:val="center"/>
        <w:outlineLvl w:val="0"/>
        <w:rPr>
          <w:rFonts w:ascii="Century Gothic" w:eastAsia="Times New Roman" w:hAnsi="Century Gothic" w:cs="Times New Roman"/>
          <w:b/>
          <w:i/>
          <w:sz w:val="20"/>
          <w:szCs w:val="20"/>
          <w:lang w:eastAsia="fr-FR"/>
        </w:rPr>
      </w:pPr>
      <w:r w:rsidRPr="00A028ED">
        <w:rPr>
          <w:rFonts w:ascii="Century Gothic" w:eastAsia="Times New Roman" w:hAnsi="Century Gothic" w:cs="Times New Roman"/>
          <w:b/>
          <w:i/>
          <w:sz w:val="20"/>
          <w:szCs w:val="20"/>
          <w:lang w:eastAsia="fr-FR"/>
        </w:rPr>
        <w:t>Travail - Justice - Solidarité</w:t>
      </w:r>
    </w:p>
    <w:p w14:paraId="5725A2FD" w14:textId="77777777" w:rsidR="008B64E5" w:rsidRDefault="008B64E5" w:rsidP="001E210F">
      <w:pPr>
        <w:spacing w:after="0" w:line="240" w:lineRule="auto"/>
        <w:jc w:val="center"/>
        <w:rPr>
          <w:rFonts w:ascii="Century Gothic" w:eastAsia="Times New Roman" w:hAnsi="Century Gothic" w:cs="Times New Roman"/>
          <w:b/>
          <w:sz w:val="36"/>
          <w:szCs w:val="36"/>
          <w:lang w:eastAsia="fr-FR"/>
        </w:rPr>
      </w:pPr>
    </w:p>
    <w:p w14:paraId="0671541B" w14:textId="35DC1530" w:rsidR="001E210F" w:rsidRPr="00A028ED" w:rsidRDefault="001E210F" w:rsidP="00437801">
      <w:pPr>
        <w:spacing w:after="0" w:line="240" w:lineRule="auto"/>
        <w:jc w:val="center"/>
        <w:outlineLvl w:val="0"/>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36"/>
          <w:szCs w:val="36"/>
          <w:lang w:eastAsia="fr-FR"/>
        </w:rPr>
        <w:t>M</w:t>
      </w:r>
      <w:r w:rsidRPr="00A028ED">
        <w:rPr>
          <w:rFonts w:ascii="Century Gothic" w:eastAsia="Times New Roman" w:hAnsi="Century Gothic" w:cs="Times New Roman"/>
          <w:b/>
          <w:sz w:val="28"/>
          <w:szCs w:val="28"/>
          <w:lang w:eastAsia="fr-FR"/>
        </w:rPr>
        <w:t>INISTERE DE L’</w:t>
      </w:r>
      <w:r w:rsidR="008B64E5">
        <w:rPr>
          <w:rFonts w:ascii="Century Gothic" w:eastAsia="Times New Roman" w:hAnsi="Century Gothic" w:cs="Times New Roman"/>
          <w:b/>
          <w:sz w:val="28"/>
          <w:szCs w:val="28"/>
          <w:lang w:eastAsia="fr-FR"/>
        </w:rPr>
        <w:t>ENERGIE</w:t>
      </w:r>
      <w:r w:rsidRPr="00A028ED">
        <w:rPr>
          <w:rFonts w:ascii="Century Gothic" w:eastAsia="Times New Roman" w:hAnsi="Century Gothic" w:cs="Times New Roman"/>
          <w:b/>
          <w:sz w:val="28"/>
          <w:szCs w:val="28"/>
          <w:lang w:eastAsia="fr-FR"/>
        </w:rPr>
        <w:t xml:space="preserve"> (M</w:t>
      </w:r>
      <w:r w:rsidR="008B64E5">
        <w:rPr>
          <w:rFonts w:ascii="Century Gothic" w:eastAsia="Times New Roman" w:hAnsi="Century Gothic" w:cs="Times New Roman"/>
          <w:b/>
          <w:sz w:val="28"/>
          <w:szCs w:val="28"/>
          <w:lang w:eastAsia="fr-FR"/>
        </w:rPr>
        <w:t>E</w:t>
      </w:r>
      <w:r w:rsidRPr="00A028ED">
        <w:rPr>
          <w:rFonts w:ascii="Century Gothic" w:eastAsia="Times New Roman" w:hAnsi="Century Gothic" w:cs="Times New Roman"/>
          <w:b/>
          <w:sz w:val="28"/>
          <w:szCs w:val="28"/>
          <w:lang w:eastAsia="fr-FR"/>
        </w:rPr>
        <w:t>)</w:t>
      </w:r>
    </w:p>
    <w:p w14:paraId="44B45052" w14:textId="77777777"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24"/>
          <w:szCs w:val="24"/>
          <w:lang w:eastAsia="fr-FR"/>
        </w:rPr>
        <w:t xml:space="preserve">    --------------------</w:t>
      </w:r>
    </w:p>
    <w:p w14:paraId="17E9697A" w14:textId="77777777" w:rsidR="008B64E5" w:rsidRDefault="008B64E5" w:rsidP="001E210F">
      <w:pPr>
        <w:spacing w:after="0" w:line="240" w:lineRule="auto"/>
        <w:jc w:val="center"/>
        <w:rPr>
          <w:rFonts w:ascii="Century Gothic" w:eastAsia="Times New Roman" w:hAnsi="Century Gothic" w:cs="Times New Roman"/>
          <w:b/>
          <w:sz w:val="36"/>
          <w:szCs w:val="36"/>
          <w:lang w:eastAsia="fr-FR"/>
        </w:rPr>
      </w:pPr>
    </w:p>
    <w:p w14:paraId="715D3F2A" w14:textId="65B42E4D" w:rsidR="001E210F" w:rsidRPr="00A028ED" w:rsidRDefault="008B64E5" w:rsidP="00437801">
      <w:pPr>
        <w:spacing w:after="0" w:line="240" w:lineRule="auto"/>
        <w:jc w:val="center"/>
        <w:outlineLvl w:val="0"/>
        <w:rPr>
          <w:rFonts w:ascii="Century Gothic" w:eastAsia="Times New Roman" w:hAnsi="Century Gothic" w:cs="Times New Roman"/>
          <w:b/>
          <w:sz w:val="28"/>
          <w:szCs w:val="28"/>
          <w:lang w:eastAsia="fr-FR"/>
        </w:rPr>
      </w:pPr>
      <w:r>
        <w:rPr>
          <w:rFonts w:ascii="Century Gothic" w:eastAsia="Times New Roman" w:hAnsi="Century Gothic" w:cs="Times New Roman"/>
          <w:b/>
          <w:sz w:val="28"/>
          <w:szCs w:val="28"/>
          <w:lang w:eastAsia="fr-FR"/>
        </w:rPr>
        <w:t>ELECTRICITE</w:t>
      </w:r>
      <w:r w:rsidR="001E210F" w:rsidRPr="00A028ED">
        <w:rPr>
          <w:rFonts w:ascii="Century Gothic" w:eastAsia="Times New Roman" w:hAnsi="Century Gothic" w:cs="Times New Roman"/>
          <w:b/>
          <w:sz w:val="28"/>
          <w:szCs w:val="28"/>
          <w:lang w:eastAsia="fr-FR"/>
        </w:rPr>
        <w:t xml:space="preserve"> DE GUINEE (</w:t>
      </w:r>
      <w:r>
        <w:rPr>
          <w:rFonts w:ascii="Century Gothic" w:eastAsia="Times New Roman" w:hAnsi="Century Gothic" w:cs="Times New Roman"/>
          <w:b/>
          <w:sz w:val="28"/>
          <w:szCs w:val="28"/>
          <w:lang w:eastAsia="fr-FR"/>
        </w:rPr>
        <w:t>EDG</w:t>
      </w:r>
      <w:r w:rsidR="001E210F" w:rsidRPr="00A028ED">
        <w:rPr>
          <w:rFonts w:ascii="Century Gothic" w:eastAsia="Times New Roman" w:hAnsi="Century Gothic" w:cs="Times New Roman"/>
          <w:b/>
          <w:sz w:val="28"/>
          <w:szCs w:val="28"/>
          <w:lang w:eastAsia="fr-FR"/>
        </w:rPr>
        <w:t>-SA)</w:t>
      </w:r>
    </w:p>
    <w:p w14:paraId="214D174F" w14:textId="77777777"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24"/>
          <w:szCs w:val="24"/>
          <w:lang w:eastAsia="fr-FR"/>
        </w:rPr>
        <w:t xml:space="preserve">    --------------------</w:t>
      </w:r>
    </w:p>
    <w:p w14:paraId="53DE2142" w14:textId="77777777" w:rsidR="001968A4" w:rsidRPr="00A028ED" w:rsidRDefault="001968A4">
      <w:pPr>
        <w:spacing w:after="0"/>
        <w:rPr>
          <w:rFonts w:ascii="Century Gothic" w:hAnsi="Century Gothic" w:cs="Times New Roman"/>
          <w:b/>
          <w:sz w:val="24"/>
          <w:szCs w:val="24"/>
        </w:rPr>
      </w:pPr>
    </w:p>
    <w:p w14:paraId="01626229" w14:textId="77777777" w:rsidR="008B64E5" w:rsidRDefault="008B64E5">
      <w:pPr>
        <w:jc w:val="center"/>
        <w:rPr>
          <w:rFonts w:ascii="Century Gothic" w:hAnsi="Century Gothic" w:cs="Times New Roman"/>
          <w:b/>
          <w:sz w:val="28"/>
          <w:szCs w:val="28"/>
          <w:lang w:val="zh-CN" w:eastAsia="zh-CN"/>
        </w:rPr>
      </w:pPr>
    </w:p>
    <w:p w14:paraId="0BAED319" w14:textId="70803446" w:rsidR="001968A4" w:rsidRPr="008B64E5" w:rsidRDefault="00A715C2" w:rsidP="00437801">
      <w:pPr>
        <w:jc w:val="center"/>
        <w:outlineLvl w:val="0"/>
        <w:rPr>
          <w:rFonts w:ascii="Century Gothic" w:hAnsi="Century Gothic" w:cs="Times New Roman"/>
          <w:b/>
          <w:sz w:val="32"/>
          <w:szCs w:val="32"/>
        </w:rPr>
      </w:pPr>
      <w:r w:rsidRPr="008B64E5">
        <w:rPr>
          <w:rFonts w:ascii="Century Gothic" w:hAnsi="Century Gothic" w:cs="Times New Roman"/>
          <w:b/>
          <w:sz w:val="32"/>
          <w:szCs w:val="32"/>
          <w:lang w:val="zh-CN"/>
        </w:rPr>
        <w:t>AVIS D’ENGAGEMENT PRÉCOCE D</w:t>
      </w:r>
      <w:r w:rsidR="0071125F" w:rsidRPr="008B64E5">
        <w:rPr>
          <w:rFonts w:ascii="Century Gothic" w:hAnsi="Century Gothic" w:cs="Times New Roman"/>
          <w:b/>
          <w:sz w:val="32"/>
          <w:szCs w:val="32"/>
        </w:rPr>
        <w:t>E</w:t>
      </w:r>
      <w:r w:rsidRPr="008B64E5">
        <w:rPr>
          <w:rFonts w:ascii="Century Gothic" w:hAnsi="Century Gothic" w:cs="Times New Roman"/>
          <w:b/>
          <w:sz w:val="32"/>
          <w:szCs w:val="32"/>
          <w:lang w:val="zh-CN"/>
        </w:rPr>
        <w:t xml:space="preserve"> MARCHÉ</w:t>
      </w:r>
    </w:p>
    <w:p w14:paraId="3A0879AF" w14:textId="77777777" w:rsidR="002E2F07" w:rsidRDefault="002E2F07" w:rsidP="002E2F07">
      <w:pPr>
        <w:rPr>
          <w:rFonts w:ascii="Century Gothic" w:hAnsi="Century Gothic" w:cs="Times New Roman"/>
          <w:b/>
          <w:sz w:val="28"/>
          <w:szCs w:val="28"/>
          <w:lang w:eastAsia="zh-CN"/>
        </w:rPr>
      </w:pPr>
    </w:p>
    <w:p w14:paraId="3542F095" w14:textId="48B3CBB1" w:rsidR="0071125F" w:rsidRPr="008B64E5" w:rsidRDefault="00A715C2" w:rsidP="002E2F07">
      <w:pPr>
        <w:jc w:val="both"/>
        <w:rPr>
          <w:rFonts w:ascii="Century Gothic" w:hAnsi="Century Gothic" w:cs="Times New Roman"/>
          <w:b/>
          <w:bCs/>
          <w:spacing w:val="-3"/>
        </w:rPr>
      </w:pPr>
      <w:r w:rsidRPr="00DE293D">
        <w:rPr>
          <w:rFonts w:ascii="Century Gothic" w:hAnsi="Century Gothic" w:cs="Times New Roman"/>
          <w:b/>
          <w:sz w:val="24"/>
          <w:szCs w:val="24"/>
          <w:u w:val="single"/>
          <w:lang w:val="zh-CN"/>
        </w:rPr>
        <w:t>NOM DU PROJET</w:t>
      </w:r>
      <w:r w:rsidRPr="00A028ED">
        <w:rPr>
          <w:rFonts w:ascii="Century Gothic" w:hAnsi="Century Gothic" w:cs="Times New Roman"/>
          <w:b/>
          <w:sz w:val="24"/>
          <w:szCs w:val="24"/>
          <w:lang w:val="zh-CN"/>
        </w:rPr>
        <w:t xml:space="preserve"> : </w:t>
      </w:r>
      <w:r w:rsidR="008B64E5" w:rsidRPr="008B64E5">
        <w:rPr>
          <w:rFonts w:ascii="Century Gothic" w:hAnsi="Century Gothic" w:cs="Times New Roman"/>
          <w:b/>
        </w:rPr>
        <w:t xml:space="preserve">SECONDE PHASE DU </w:t>
      </w:r>
      <w:r w:rsidRPr="008B64E5">
        <w:rPr>
          <w:rFonts w:ascii="Century Gothic" w:hAnsi="Century Gothic" w:cs="Times New Roman"/>
          <w:b/>
          <w:bCs/>
          <w:spacing w:val="-3"/>
        </w:rPr>
        <w:t xml:space="preserve">PROJET </w:t>
      </w:r>
      <w:r w:rsidR="008B64E5" w:rsidRPr="008B64E5">
        <w:rPr>
          <w:rFonts w:ascii="Century Gothic" w:hAnsi="Century Gothic" w:cs="Times New Roman"/>
          <w:b/>
          <w:bCs/>
          <w:spacing w:val="-3"/>
        </w:rPr>
        <w:t>D’AMELIORATION DE L’ACCES A L’ELECTRICITE EN</w:t>
      </w:r>
      <w:r w:rsidR="0071125F" w:rsidRPr="008B64E5">
        <w:rPr>
          <w:rFonts w:ascii="Century Gothic" w:hAnsi="Century Gothic" w:cs="Times New Roman"/>
          <w:b/>
          <w:bCs/>
          <w:spacing w:val="-3"/>
        </w:rPr>
        <w:t xml:space="preserve"> GUINEE (PA</w:t>
      </w:r>
      <w:r w:rsidR="008B64E5" w:rsidRPr="008B64E5">
        <w:rPr>
          <w:rFonts w:ascii="Century Gothic" w:hAnsi="Century Gothic" w:cs="Times New Roman"/>
          <w:b/>
          <w:bCs/>
          <w:spacing w:val="-3"/>
        </w:rPr>
        <w:t>AE</w:t>
      </w:r>
      <w:r w:rsidR="0071125F" w:rsidRPr="008B64E5">
        <w:rPr>
          <w:rFonts w:ascii="Century Gothic" w:hAnsi="Century Gothic" w:cs="Times New Roman"/>
          <w:b/>
          <w:bCs/>
          <w:spacing w:val="-3"/>
        </w:rPr>
        <w:t>G</w:t>
      </w:r>
      <w:r w:rsidR="008B64E5" w:rsidRPr="008B64E5">
        <w:rPr>
          <w:rFonts w:ascii="Century Gothic" w:hAnsi="Century Gothic" w:cs="Times New Roman"/>
          <w:b/>
          <w:bCs/>
          <w:spacing w:val="-3"/>
        </w:rPr>
        <w:t xml:space="preserve"> 2</w:t>
      </w:r>
      <w:r w:rsidR="0071125F" w:rsidRPr="008B64E5">
        <w:rPr>
          <w:rFonts w:ascii="Century Gothic" w:hAnsi="Century Gothic" w:cs="Times New Roman"/>
          <w:b/>
          <w:bCs/>
          <w:spacing w:val="-3"/>
        </w:rPr>
        <w:t>)</w:t>
      </w:r>
    </w:p>
    <w:p w14:paraId="64647A92" w14:textId="77777777" w:rsidR="008B64E5" w:rsidRDefault="008B64E5" w:rsidP="002E2F07">
      <w:pPr>
        <w:spacing w:before="60" w:after="60"/>
        <w:jc w:val="both"/>
        <w:rPr>
          <w:rFonts w:ascii="Century Gothic" w:hAnsi="Century Gothic" w:cs="Times New Roman"/>
          <w:b/>
          <w:bCs/>
          <w:sz w:val="24"/>
          <w:szCs w:val="24"/>
          <w:u w:val="single"/>
        </w:rPr>
      </w:pPr>
    </w:p>
    <w:p w14:paraId="3E62BFB4" w14:textId="324BD7F1" w:rsidR="008D0617" w:rsidRPr="008B64E5" w:rsidRDefault="00A715C2" w:rsidP="002E2F07">
      <w:pPr>
        <w:spacing w:before="60" w:after="60"/>
        <w:jc w:val="both"/>
        <w:rPr>
          <w:rFonts w:ascii="Century Gothic" w:hAnsi="Century Gothic" w:cs="Times New Roman"/>
          <w:b/>
          <w:bCs/>
        </w:rPr>
      </w:pPr>
      <w:r w:rsidRPr="00DE293D">
        <w:rPr>
          <w:rFonts w:ascii="Century Gothic" w:hAnsi="Century Gothic" w:cs="Times New Roman"/>
          <w:b/>
          <w:bCs/>
          <w:sz w:val="24"/>
          <w:szCs w:val="24"/>
          <w:u w:val="single"/>
        </w:rPr>
        <w:t>OBJET</w:t>
      </w:r>
      <w:r w:rsidR="008B64E5">
        <w:rPr>
          <w:rFonts w:ascii="Century Gothic" w:hAnsi="Century Gothic" w:cs="Times New Roman"/>
          <w:b/>
          <w:bCs/>
          <w:sz w:val="24"/>
          <w:szCs w:val="24"/>
        </w:rPr>
        <w:t> </w:t>
      </w:r>
      <w:r w:rsidRPr="00F23FCF">
        <w:rPr>
          <w:rFonts w:ascii="Century Gothic" w:hAnsi="Century Gothic" w:cs="Times New Roman"/>
          <w:b/>
          <w:bCs/>
          <w:sz w:val="24"/>
          <w:szCs w:val="24"/>
        </w:rPr>
        <w:t>:</w:t>
      </w:r>
      <w:r w:rsidR="0071125F" w:rsidRPr="008D0617">
        <w:rPr>
          <w:rFonts w:ascii="Century Gothic" w:hAnsi="Century Gothic" w:cs="Times New Roman"/>
          <w:b/>
          <w:bCs/>
          <w:sz w:val="24"/>
          <w:szCs w:val="24"/>
        </w:rPr>
        <w:t xml:space="preserve"> </w:t>
      </w:r>
      <w:r w:rsidRPr="008B64E5">
        <w:rPr>
          <w:rFonts w:ascii="Century Gothic" w:hAnsi="Century Gothic" w:cs="Times New Roman"/>
          <w:b/>
          <w:bCs/>
        </w:rPr>
        <w:t>CONSULTATION PRELIMINAIRE</w:t>
      </w:r>
      <w:r w:rsidR="0071125F" w:rsidRPr="008B64E5">
        <w:rPr>
          <w:rFonts w:ascii="Century Gothic" w:hAnsi="Century Gothic" w:cs="Times New Roman"/>
          <w:b/>
          <w:bCs/>
        </w:rPr>
        <w:t xml:space="preserve"> </w:t>
      </w:r>
      <w:r w:rsidRPr="008B64E5">
        <w:rPr>
          <w:rFonts w:ascii="Century Gothic" w:hAnsi="Century Gothic" w:cs="Times New Roman"/>
          <w:b/>
          <w:bCs/>
        </w:rPr>
        <w:t xml:space="preserve">POUR LES TRAVAUX </w:t>
      </w:r>
      <w:r w:rsidR="00E46031" w:rsidRPr="008B64E5">
        <w:rPr>
          <w:rFonts w:ascii="Century Gothic" w:hAnsi="Century Gothic" w:cs="Times New Roman"/>
          <w:b/>
          <w:bCs/>
        </w:rPr>
        <w:t xml:space="preserve">DE </w:t>
      </w:r>
      <w:r w:rsidR="008B64E5" w:rsidRPr="008B64E5">
        <w:rPr>
          <w:rFonts w:ascii="Century Gothic" w:hAnsi="Century Gothic" w:cs="Times New Roman"/>
          <w:b/>
          <w:bCs/>
        </w:rPr>
        <w:t xml:space="preserve">REHABILITATION, DE RENFORCEMENT ET D’EXTENSION DES RESEAUX DE DISTRIBUTION ELECTRIQUES HTA ET BT DU CENTRE URBAIN DE </w:t>
      </w:r>
      <w:r w:rsidR="00DD629E">
        <w:rPr>
          <w:rFonts w:ascii="Century Gothic" w:hAnsi="Century Gothic" w:cs="Times New Roman"/>
          <w:b/>
          <w:bCs/>
        </w:rPr>
        <w:t>KINDIA</w:t>
      </w:r>
      <w:r w:rsidR="008B64E5" w:rsidRPr="008B64E5">
        <w:rPr>
          <w:rFonts w:ascii="Century Gothic" w:hAnsi="Century Gothic" w:cs="Times New Roman"/>
          <w:b/>
          <w:bCs/>
        </w:rPr>
        <w:t xml:space="preserve"> ET L</w:t>
      </w:r>
      <w:r w:rsidR="00DD629E">
        <w:rPr>
          <w:rFonts w:ascii="Century Gothic" w:hAnsi="Century Gothic" w:cs="Times New Roman"/>
          <w:b/>
          <w:bCs/>
        </w:rPr>
        <w:t>A REHABILITATION DE LA LIGNE DONKEA-KINDIA</w:t>
      </w:r>
    </w:p>
    <w:p w14:paraId="4392DC51" w14:textId="741ADA47" w:rsidR="008D0617" w:rsidRDefault="008D0617" w:rsidP="002E2F07">
      <w:pPr>
        <w:spacing w:before="60" w:after="60"/>
        <w:jc w:val="both"/>
        <w:rPr>
          <w:rFonts w:ascii="Century Gothic" w:hAnsi="Century Gothic" w:cs="Times New Roman"/>
          <w:b/>
          <w:bCs/>
          <w:sz w:val="24"/>
          <w:szCs w:val="24"/>
        </w:rPr>
      </w:pPr>
    </w:p>
    <w:p w14:paraId="4534C13D" w14:textId="13E62D49" w:rsidR="008D0617" w:rsidRDefault="008D0617" w:rsidP="002E2F07">
      <w:pPr>
        <w:spacing w:before="60" w:after="60"/>
        <w:jc w:val="both"/>
        <w:rPr>
          <w:rFonts w:ascii="Century Gothic" w:hAnsi="Century Gothic" w:cs="Times New Roman"/>
          <w:b/>
          <w:bCs/>
          <w:sz w:val="24"/>
          <w:szCs w:val="24"/>
        </w:rPr>
      </w:pPr>
    </w:p>
    <w:p w14:paraId="0064011F" w14:textId="178BAD33" w:rsidR="008D0617" w:rsidRDefault="008D0617" w:rsidP="002E2F07">
      <w:pPr>
        <w:spacing w:before="60" w:after="60"/>
        <w:jc w:val="both"/>
        <w:rPr>
          <w:rFonts w:ascii="Century Gothic" w:hAnsi="Century Gothic" w:cs="Times New Roman"/>
          <w:b/>
          <w:bCs/>
          <w:sz w:val="24"/>
          <w:szCs w:val="24"/>
        </w:rPr>
      </w:pPr>
    </w:p>
    <w:p w14:paraId="64803413" w14:textId="255AAE1A" w:rsidR="008D0617" w:rsidRDefault="008D0617" w:rsidP="002E2F07">
      <w:pPr>
        <w:spacing w:before="60" w:after="60"/>
        <w:jc w:val="both"/>
        <w:rPr>
          <w:rFonts w:ascii="Century Gothic" w:hAnsi="Century Gothic" w:cs="Times New Roman"/>
          <w:b/>
          <w:bCs/>
          <w:sz w:val="24"/>
          <w:szCs w:val="24"/>
        </w:rPr>
      </w:pPr>
    </w:p>
    <w:p w14:paraId="22D5E866" w14:textId="03415970" w:rsidR="008D0617" w:rsidRDefault="008D0617" w:rsidP="002E2F07">
      <w:pPr>
        <w:spacing w:before="60" w:after="60"/>
        <w:jc w:val="both"/>
        <w:rPr>
          <w:rFonts w:ascii="Century Gothic" w:hAnsi="Century Gothic" w:cs="Times New Roman"/>
          <w:b/>
          <w:bCs/>
          <w:sz w:val="24"/>
          <w:szCs w:val="24"/>
        </w:rPr>
      </w:pPr>
    </w:p>
    <w:p w14:paraId="7D10E2FE" w14:textId="0BE12B28" w:rsidR="008D0617" w:rsidRDefault="008D0617" w:rsidP="002E2F07">
      <w:pPr>
        <w:spacing w:before="60" w:after="60"/>
        <w:jc w:val="both"/>
        <w:rPr>
          <w:rFonts w:ascii="Century Gothic" w:hAnsi="Century Gothic" w:cs="Times New Roman"/>
          <w:b/>
          <w:bCs/>
          <w:sz w:val="24"/>
          <w:szCs w:val="24"/>
        </w:rPr>
      </w:pPr>
    </w:p>
    <w:p w14:paraId="584151E8" w14:textId="5CF009D8" w:rsidR="008D0617" w:rsidRDefault="008D0617" w:rsidP="002E2F07">
      <w:pPr>
        <w:spacing w:before="60" w:after="60"/>
        <w:jc w:val="both"/>
        <w:rPr>
          <w:rFonts w:ascii="Century Gothic" w:hAnsi="Century Gothic" w:cs="Times New Roman"/>
          <w:b/>
          <w:bCs/>
          <w:sz w:val="24"/>
          <w:szCs w:val="24"/>
        </w:rPr>
      </w:pPr>
    </w:p>
    <w:p w14:paraId="7FB69821" w14:textId="1AF72313" w:rsidR="008D0617" w:rsidRDefault="008D0617" w:rsidP="002E2F07">
      <w:pPr>
        <w:spacing w:before="60" w:after="60"/>
        <w:jc w:val="both"/>
        <w:rPr>
          <w:rFonts w:ascii="Century Gothic" w:hAnsi="Century Gothic" w:cs="Times New Roman"/>
          <w:b/>
          <w:bCs/>
          <w:sz w:val="24"/>
          <w:szCs w:val="24"/>
        </w:rPr>
      </w:pPr>
    </w:p>
    <w:p w14:paraId="160957C3" w14:textId="7F788EBB" w:rsidR="008D0617" w:rsidRDefault="008D0617" w:rsidP="002E2F07">
      <w:pPr>
        <w:spacing w:before="60" w:after="60"/>
        <w:jc w:val="both"/>
        <w:rPr>
          <w:rFonts w:ascii="Century Gothic" w:hAnsi="Century Gothic" w:cs="Times New Roman"/>
          <w:b/>
          <w:bCs/>
          <w:sz w:val="24"/>
          <w:szCs w:val="24"/>
        </w:rPr>
      </w:pPr>
    </w:p>
    <w:p w14:paraId="4F08934B" w14:textId="17078BBA" w:rsidR="008D0617" w:rsidRDefault="008D0617" w:rsidP="002E2F07">
      <w:pPr>
        <w:spacing w:before="60" w:after="60"/>
        <w:jc w:val="both"/>
        <w:rPr>
          <w:rFonts w:ascii="Century Gothic" w:hAnsi="Century Gothic" w:cs="Times New Roman"/>
          <w:b/>
          <w:bCs/>
          <w:sz w:val="24"/>
          <w:szCs w:val="24"/>
        </w:rPr>
      </w:pPr>
    </w:p>
    <w:p w14:paraId="17880C21" w14:textId="5946123F" w:rsidR="008D0617" w:rsidRDefault="008D0617" w:rsidP="002E2F07">
      <w:pPr>
        <w:spacing w:before="60" w:after="60"/>
        <w:jc w:val="both"/>
        <w:rPr>
          <w:rFonts w:ascii="Century Gothic" w:hAnsi="Century Gothic" w:cs="Times New Roman"/>
          <w:b/>
          <w:bCs/>
          <w:sz w:val="24"/>
          <w:szCs w:val="24"/>
        </w:rPr>
      </w:pPr>
    </w:p>
    <w:p w14:paraId="7036E6EE" w14:textId="054635D2" w:rsidR="008D0617" w:rsidRDefault="008D0617" w:rsidP="002E2F07">
      <w:pPr>
        <w:spacing w:before="60" w:after="60"/>
        <w:jc w:val="both"/>
        <w:rPr>
          <w:rFonts w:ascii="Century Gothic" w:hAnsi="Century Gothic" w:cs="Times New Roman"/>
          <w:b/>
          <w:bCs/>
          <w:sz w:val="24"/>
          <w:szCs w:val="24"/>
        </w:rPr>
      </w:pPr>
    </w:p>
    <w:p w14:paraId="718B686B" w14:textId="0C31B461" w:rsidR="008D0617" w:rsidRDefault="008D0617" w:rsidP="002E2F07">
      <w:pPr>
        <w:spacing w:before="60" w:after="60"/>
        <w:jc w:val="both"/>
        <w:rPr>
          <w:rFonts w:ascii="Century Gothic" w:hAnsi="Century Gothic" w:cs="Times New Roman"/>
          <w:b/>
          <w:bCs/>
          <w:sz w:val="24"/>
          <w:szCs w:val="24"/>
        </w:rPr>
      </w:pPr>
    </w:p>
    <w:p w14:paraId="69E1A91B" w14:textId="11214FAC" w:rsidR="008D0617" w:rsidRDefault="008D0617" w:rsidP="002E2F07">
      <w:pPr>
        <w:spacing w:before="60" w:after="60"/>
        <w:jc w:val="both"/>
        <w:rPr>
          <w:rFonts w:ascii="Century Gothic" w:hAnsi="Century Gothic" w:cs="Times New Roman"/>
          <w:b/>
          <w:bCs/>
          <w:sz w:val="24"/>
          <w:szCs w:val="24"/>
        </w:rPr>
      </w:pPr>
    </w:p>
    <w:p w14:paraId="45FA2B50" w14:textId="295C6DE3" w:rsidR="008D0617" w:rsidRDefault="008D0617" w:rsidP="002E2F07">
      <w:pPr>
        <w:spacing w:before="60" w:after="60"/>
        <w:jc w:val="both"/>
        <w:rPr>
          <w:rFonts w:ascii="Century Gothic" w:hAnsi="Century Gothic" w:cs="Times New Roman"/>
          <w:b/>
          <w:bCs/>
          <w:sz w:val="24"/>
          <w:szCs w:val="24"/>
        </w:rPr>
      </w:pPr>
    </w:p>
    <w:p w14:paraId="59F05E6D" w14:textId="433A89D4" w:rsidR="008D0617" w:rsidRDefault="00754CF0" w:rsidP="008B64E5">
      <w:pPr>
        <w:spacing w:before="60" w:after="60"/>
        <w:jc w:val="right"/>
        <w:rPr>
          <w:rFonts w:ascii="Century Gothic" w:hAnsi="Century Gothic" w:cs="Times New Roman"/>
          <w:b/>
          <w:bCs/>
          <w:sz w:val="24"/>
          <w:szCs w:val="24"/>
        </w:rPr>
      </w:pPr>
      <w:r>
        <w:rPr>
          <w:rFonts w:ascii="Century Gothic" w:hAnsi="Century Gothic" w:cs="Times New Roman"/>
          <w:b/>
          <w:bCs/>
          <w:sz w:val="24"/>
          <w:szCs w:val="24"/>
        </w:rPr>
        <w:t>Avril</w:t>
      </w:r>
      <w:r w:rsidR="008B64E5">
        <w:rPr>
          <w:rFonts w:ascii="Century Gothic" w:hAnsi="Century Gothic" w:cs="Times New Roman"/>
          <w:b/>
          <w:bCs/>
          <w:sz w:val="24"/>
          <w:szCs w:val="24"/>
        </w:rPr>
        <w:t xml:space="preserve"> 202</w:t>
      </w:r>
      <w:r w:rsidR="00DD629E">
        <w:rPr>
          <w:rFonts w:ascii="Century Gothic" w:hAnsi="Century Gothic" w:cs="Times New Roman"/>
          <w:b/>
          <w:bCs/>
          <w:sz w:val="24"/>
          <w:szCs w:val="24"/>
        </w:rPr>
        <w:t>6</w:t>
      </w:r>
    </w:p>
    <w:p w14:paraId="5D50372F" w14:textId="77777777" w:rsidR="00DD629E" w:rsidRDefault="00DD629E" w:rsidP="008B64E5">
      <w:pPr>
        <w:spacing w:before="60" w:after="60"/>
        <w:jc w:val="right"/>
        <w:rPr>
          <w:rFonts w:ascii="Century Gothic" w:hAnsi="Century Gothic" w:cs="Times New Roman"/>
          <w:b/>
          <w:bCs/>
          <w:sz w:val="24"/>
          <w:szCs w:val="24"/>
        </w:rPr>
      </w:pPr>
    </w:p>
    <w:p w14:paraId="01977B6C" w14:textId="2B667CE2" w:rsidR="008D0617" w:rsidRDefault="008D0617" w:rsidP="002E2F07">
      <w:pPr>
        <w:spacing w:before="60" w:after="60"/>
        <w:jc w:val="both"/>
        <w:rPr>
          <w:rFonts w:ascii="Century Gothic" w:hAnsi="Century Gothic" w:cs="Times New Roman"/>
          <w:b/>
          <w:bCs/>
          <w:sz w:val="24"/>
          <w:szCs w:val="24"/>
        </w:rPr>
      </w:pPr>
    </w:p>
    <w:p w14:paraId="35557DE2" w14:textId="77777777" w:rsidR="001968A4" w:rsidRPr="00A028ED" w:rsidRDefault="00A715C2" w:rsidP="00437801">
      <w:pPr>
        <w:jc w:val="both"/>
        <w:outlineLvl w:val="0"/>
        <w:rPr>
          <w:rFonts w:ascii="Century Gothic" w:hAnsi="Century Gothic" w:cs="Times New Roman"/>
          <w:b/>
          <w:sz w:val="24"/>
          <w:szCs w:val="24"/>
          <w:lang w:val="zh-CN"/>
        </w:rPr>
      </w:pPr>
      <w:r w:rsidRPr="00A028ED">
        <w:rPr>
          <w:rFonts w:ascii="Century Gothic" w:hAnsi="Century Gothic" w:cs="Times New Roman"/>
          <w:b/>
          <w:sz w:val="24"/>
          <w:szCs w:val="24"/>
          <w:lang w:val="zh-CN"/>
        </w:rPr>
        <w:lastRenderedPageBreak/>
        <w:t>1. INTRODUCTION</w:t>
      </w:r>
    </w:p>
    <w:p w14:paraId="37E7F9A7" w14:textId="70FC5615" w:rsidR="001E2CAC" w:rsidRPr="000F0AA5" w:rsidRDefault="001E2CAC" w:rsidP="001E2CAC">
      <w:pPr>
        <w:jc w:val="both"/>
        <w:rPr>
          <w:rFonts w:ascii="Century Gothic" w:hAnsi="Century Gothic"/>
        </w:rPr>
      </w:pPr>
      <w:r w:rsidRPr="000F0AA5">
        <w:rPr>
          <w:rFonts w:ascii="Century Gothic" w:hAnsi="Century Gothic"/>
        </w:rPr>
        <w:t xml:space="preserve">L’agenda du Gouvernement </w:t>
      </w:r>
      <w:r w:rsidR="00B70F8E">
        <w:rPr>
          <w:rFonts w:ascii="Century Gothic" w:hAnsi="Century Gothic"/>
        </w:rPr>
        <w:t xml:space="preserve"> pour</w:t>
      </w:r>
      <w:r w:rsidR="007E33FE">
        <w:rPr>
          <w:rFonts w:ascii="Century Gothic" w:hAnsi="Century Gothic"/>
        </w:rPr>
        <w:t xml:space="preserve"> </w:t>
      </w:r>
      <w:r w:rsidR="00B70F8E">
        <w:rPr>
          <w:rFonts w:ascii="Century Gothic" w:hAnsi="Century Gothic"/>
        </w:rPr>
        <w:t>l</w:t>
      </w:r>
      <w:r w:rsidRPr="000F0AA5">
        <w:rPr>
          <w:rFonts w:ascii="Century Gothic" w:hAnsi="Century Gothic"/>
        </w:rPr>
        <w:t>’accès à l’électricité (NLCEAP)</w:t>
      </w:r>
      <w:r w:rsidR="000F0AA5" w:rsidRPr="000F0AA5">
        <w:rPr>
          <w:rFonts w:ascii="Century Gothic" w:hAnsi="Century Gothic"/>
        </w:rPr>
        <w:t xml:space="preserve"> et</w:t>
      </w:r>
      <w:r w:rsidRPr="000F0AA5">
        <w:rPr>
          <w:rFonts w:ascii="Century Gothic" w:hAnsi="Century Gothic"/>
        </w:rPr>
        <w:t xml:space="preserve"> la feuille de route sectorielle pour la viabilité financière et l’initiative M300 a </w:t>
      </w:r>
      <w:r w:rsidR="000F0AA5" w:rsidRPr="000F0AA5">
        <w:rPr>
          <w:rFonts w:ascii="Century Gothic" w:hAnsi="Century Gothic"/>
        </w:rPr>
        <w:t xml:space="preserve">permis d’obtenir un financement de la Banque mondiale </w:t>
      </w:r>
      <w:r w:rsidRPr="000F0AA5">
        <w:rPr>
          <w:rFonts w:ascii="Century Gothic" w:hAnsi="Century Gothic"/>
        </w:rPr>
        <w:t xml:space="preserve">pour </w:t>
      </w:r>
      <w:r w:rsidR="000F0AA5">
        <w:rPr>
          <w:rFonts w:ascii="Century Gothic" w:hAnsi="Century Gothic"/>
        </w:rPr>
        <w:t xml:space="preserve"> la </w:t>
      </w:r>
      <w:r w:rsidR="00B70F8E">
        <w:rPr>
          <w:rFonts w:ascii="Century Gothic" w:hAnsi="Century Gothic"/>
        </w:rPr>
        <w:t xml:space="preserve"> mise en œuvre </w:t>
      </w:r>
      <w:r w:rsidR="000F0AA5">
        <w:rPr>
          <w:rFonts w:ascii="Century Gothic" w:hAnsi="Century Gothic"/>
        </w:rPr>
        <w:t xml:space="preserve"> du </w:t>
      </w:r>
      <w:r w:rsidR="000F0AA5" w:rsidRPr="000F0AA5">
        <w:rPr>
          <w:rFonts w:ascii="Century Gothic" w:hAnsi="Century Gothic"/>
          <w:b/>
        </w:rPr>
        <w:t>P</w:t>
      </w:r>
      <w:r w:rsidRPr="000F0AA5">
        <w:rPr>
          <w:rFonts w:ascii="Century Gothic" w:hAnsi="Century Gothic"/>
          <w:b/>
        </w:rPr>
        <w:t xml:space="preserve">rojet </w:t>
      </w:r>
      <w:r w:rsidR="000F0AA5" w:rsidRPr="000F0AA5">
        <w:rPr>
          <w:rFonts w:ascii="Century Gothic" w:hAnsi="Century Gothic"/>
          <w:b/>
        </w:rPr>
        <w:t>d’Amélioration de l’Accès à l’Electricité en Guinée (PAAEG 2)</w:t>
      </w:r>
      <w:r w:rsidR="000F0AA5">
        <w:rPr>
          <w:rFonts w:ascii="Century Gothic" w:hAnsi="Century Gothic"/>
        </w:rPr>
        <w:t xml:space="preserve"> afin d’</w:t>
      </w:r>
      <w:r w:rsidRPr="000F0AA5">
        <w:rPr>
          <w:rFonts w:ascii="Century Gothic" w:hAnsi="Century Gothic"/>
        </w:rPr>
        <w:t xml:space="preserve">accroître l’accès aux services d’électricité, à la fois par le réseau et hors réseau, dans des zones sélectionnées et </w:t>
      </w:r>
      <w:r w:rsidR="000F0AA5">
        <w:rPr>
          <w:rFonts w:ascii="Century Gothic" w:hAnsi="Century Gothic"/>
        </w:rPr>
        <w:t>d’</w:t>
      </w:r>
      <w:r w:rsidRPr="000F0AA5">
        <w:rPr>
          <w:rFonts w:ascii="Century Gothic" w:hAnsi="Century Gothic"/>
        </w:rPr>
        <w:t>améliorer la performance opérationnelle de l</w:t>
      </w:r>
      <w:r w:rsidR="000F0AA5">
        <w:rPr>
          <w:rFonts w:ascii="Century Gothic" w:hAnsi="Century Gothic"/>
        </w:rPr>
        <w:t>a Société Electricité de Guinée (EDG-SA)</w:t>
      </w:r>
      <w:r w:rsidRPr="000F0AA5">
        <w:rPr>
          <w:rFonts w:ascii="Century Gothic" w:hAnsi="Century Gothic"/>
        </w:rPr>
        <w:t>.</w:t>
      </w:r>
    </w:p>
    <w:p w14:paraId="56F14A0D" w14:textId="506621D9" w:rsidR="004E021E" w:rsidRPr="00A028ED" w:rsidRDefault="00501655" w:rsidP="004E021E">
      <w:pPr>
        <w:spacing w:before="120" w:after="120" w:line="276" w:lineRule="auto"/>
        <w:jc w:val="both"/>
        <w:rPr>
          <w:rFonts w:ascii="Century Gothic" w:hAnsi="Century Gothic"/>
        </w:rPr>
      </w:pPr>
      <w:r>
        <w:rPr>
          <w:rFonts w:ascii="Century Gothic" w:hAnsi="Century Gothic"/>
        </w:rPr>
        <w:t xml:space="preserve">A cet </w:t>
      </w:r>
      <w:r w:rsidR="00DE7ECA">
        <w:rPr>
          <w:rFonts w:ascii="Century Gothic" w:hAnsi="Century Gothic"/>
        </w:rPr>
        <w:t xml:space="preserve">égard, </w:t>
      </w:r>
      <w:r w:rsidR="00DE7ECA" w:rsidRPr="00A028ED">
        <w:rPr>
          <w:rFonts w:ascii="Century Gothic" w:hAnsi="Century Gothic"/>
        </w:rPr>
        <w:t>le</w:t>
      </w:r>
      <w:r w:rsidR="004E021E" w:rsidRPr="00A028ED">
        <w:rPr>
          <w:rFonts w:ascii="Century Gothic" w:hAnsi="Century Gothic"/>
        </w:rPr>
        <w:t xml:space="preserve"> présent projet dénommé </w:t>
      </w:r>
      <w:r w:rsidR="000F0AA5" w:rsidRPr="000F0AA5">
        <w:rPr>
          <w:rFonts w:ascii="Century Gothic" w:hAnsi="Century Gothic"/>
          <w:b/>
        </w:rPr>
        <w:t>Seconde</w:t>
      </w:r>
      <w:r w:rsidR="000F0AA5">
        <w:rPr>
          <w:rFonts w:ascii="Century Gothic" w:hAnsi="Century Gothic"/>
          <w:b/>
        </w:rPr>
        <w:t xml:space="preserve"> phase</w:t>
      </w:r>
      <w:r w:rsidR="000F0AA5">
        <w:rPr>
          <w:rFonts w:ascii="Century Gothic" w:hAnsi="Century Gothic"/>
        </w:rPr>
        <w:t xml:space="preserve"> </w:t>
      </w:r>
      <w:r w:rsidR="000F0AA5" w:rsidRPr="000F0AA5">
        <w:rPr>
          <w:rFonts w:ascii="Century Gothic" w:hAnsi="Century Gothic"/>
          <w:b/>
        </w:rPr>
        <w:t>du</w:t>
      </w:r>
      <w:r w:rsidR="000F0AA5">
        <w:rPr>
          <w:rFonts w:ascii="Century Gothic" w:hAnsi="Century Gothic"/>
        </w:rPr>
        <w:t xml:space="preserve"> </w:t>
      </w:r>
      <w:r w:rsidR="000F0AA5" w:rsidRPr="000F0AA5">
        <w:rPr>
          <w:rFonts w:ascii="Century Gothic" w:hAnsi="Century Gothic"/>
          <w:b/>
        </w:rPr>
        <w:t>Projet d’Amélioration de l’Accès à l’Electricité en Guinée (PAAEG 2)</w:t>
      </w:r>
      <w:r w:rsidR="000F0AA5">
        <w:rPr>
          <w:rFonts w:ascii="Century Gothic" w:hAnsi="Century Gothic"/>
          <w:b/>
        </w:rPr>
        <w:t xml:space="preserve"> </w:t>
      </w:r>
      <w:r w:rsidR="004E021E" w:rsidRPr="00A028ED">
        <w:rPr>
          <w:rFonts w:ascii="Century Gothic" w:hAnsi="Century Gothic"/>
        </w:rPr>
        <w:t>s’inscrit en droite ligne</w:t>
      </w:r>
      <w:r w:rsidR="00B705F8">
        <w:rPr>
          <w:rFonts w:ascii="Century Gothic" w:hAnsi="Century Gothic"/>
        </w:rPr>
        <w:t xml:space="preserve"> du « </w:t>
      </w:r>
      <w:r w:rsidR="00B705F8" w:rsidRPr="00B705F8">
        <w:rPr>
          <w:rFonts w:ascii="Century Gothic" w:hAnsi="Century Gothic"/>
        </w:rPr>
        <w:t>Pacte énergétique national (Energy Compact) visant à atteindre, à l’horizon 2030, deux objectifs ambitieux à savoir un accès universel à l’électricité et une</w:t>
      </w:r>
      <w:r w:rsidR="00240CFD">
        <w:rPr>
          <w:rFonts w:ascii="Century Gothic" w:hAnsi="Century Gothic"/>
        </w:rPr>
        <w:t xml:space="preserve"> contribution à hauteur</w:t>
      </w:r>
      <w:r w:rsidR="00B705F8" w:rsidRPr="00B705F8">
        <w:rPr>
          <w:rFonts w:ascii="Century Gothic" w:hAnsi="Century Gothic"/>
        </w:rPr>
        <w:t xml:space="preserve"> de </w:t>
      </w:r>
      <w:r w:rsidR="00DE7ECA">
        <w:rPr>
          <w:rFonts w:ascii="Century Gothic" w:hAnsi="Century Gothic"/>
        </w:rPr>
        <w:t xml:space="preserve">70 </w:t>
      </w:r>
      <w:r w:rsidR="00DE7ECA" w:rsidRPr="00B705F8">
        <w:rPr>
          <w:rFonts w:ascii="Century Gothic" w:hAnsi="Century Gothic"/>
        </w:rPr>
        <w:t>%</w:t>
      </w:r>
      <w:r w:rsidR="00B705F8" w:rsidRPr="00B705F8">
        <w:rPr>
          <w:rFonts w:ascii="Century Gothic" w:hAnsi="Century Gothic"/>
        </w:rPr>
        <w:t xml:space="preserve"> d’énergies renouvelables dans la production d’électricité en Guinée</w:t>
      </w:r>
      <w:r w:rsidR="004E021E" w:rsidRPr="00A028ED">
        <w:rPr>
          <w:rFonts w:ascii="Century Gothic" w:hAnsi="Century Gothic"/>
        </w:rPr>
        <w:t xml:space="preserve">. </w:t>
      </w:r>
    </w:p>
    <w:p w14:paraId="59D04E36" w14:textId="2AD9F368" w:rsidR="00DE7ECA" w:rsidRPr="00DE7ECA" w:rsidRDefault="00DE7ECA" w:rsidP="00DE7ECA">
      <w:pPr>
        <w:jc w:val="both"/>
        <w:rPr>
          <w:rFonts w:ascii="Century Gothic" w:hAnsi="Century Gothic"/>
        </w:rPr>
      </w:pPr>
      <w:r>
        <w:rPr>
          <w:rFonts w:ascii="Century Gothic" w:hAnsi="Century Gothic"/>
        </w:rPr>
        <w:t>L</w:t>
      </w:r>
      <w:r w:rsidRPr="00A028ED">
        <w:rPr>
          <w:rFonts w:ascii="Century Gothic" w:hAnsi="Century Gothic"/>
        </w:rPr>
        <w:t xml:space="preserve">es travaux </w:t>
      </w:r>
      <w:r>
        <w:rPr>
          <w:rFonts w:ascii="Century Gothic" w:hAnsi="Century Gothic"/>
        </w:rPr>
        <w:t xml:space="preserve">à réaliser </w:t>
      </w:r>
      <w:r w:rsidR="00946D51">
        <w:rPr>
          <w:rFonts w:ascii="Century Gothic" w:hAnsi="Century Gothic"/>
        </w:rPr>
        <w:t xml:space="preserve">sur financement de la Banque mondiale et de la Banque Européenne de Développement </w:t>
      </w:r>
      <w:r>
        <w:rPr>
          <w:rFonts w:ascii="Century Gothic" w:hAnsi="Century Gothic"/>
        </w:rPr>
        <w:t>portent sur les (2)</w:t>
      </w:r>
      <w:r w:rsidRPr="00DE7ECA">
        <w:rPr>
          <w:rFonts w:ascii="Century Gothic" w:hAnsi="Century Gothic"/>
        </w:rPr>
        <w:t xml:space="preserve"> composantes suivantes :</w:t>
      </w:r>
    </w:p>
    <w:p w14:paraId="0F01D567" w14:textId="77777777" w:rsidR="00DE7ECA" w:rsidRPr="00DE7ECA" w:rsidRDefault="00DE7ECA" w:rsidP="00DE7ECA">
      <w:pPr>
        <w:jc w:val="both"/>
        <w:rPr>
          <w:rFonts w:ascii="Century Gothic" w:hAnsi="Century Gothic"/>
          <w:b/>
        </w:rPr>
      </w:pPr>
      <w:r w:rsidRPr="00DE7ECA">
        <w:rPr>
          <w:rFonts w:ascii="Century Gothic" w:hAnsi="Century Gothic"/>
          <w:b/>
        </w:rPr>
        <w:t>Composante 1 : Renforcement et élargissement de l’accès au réseau et amélioration de la performance commerciale d’EDG</w:t>
      </w:r>
    </w:p>
    <w:p w14:paraId="2E7841A0" w14:textId="77777777" w:rsidR="00DE7ECA" w:rsidRPr="00DE7ECA" w:rsidRDefault="00DE7ECA" w:rsidP="00DE7ECA">
      <w:pPr>
        <w:jc w:val="both"/>
        <w:rPr>
          <w:rFonts w:ascii="Century Gothic" w:hAnsi="Century Gothic"/>
        </w:rPr>
      </w:pPr>
      <w:r w:rsidRPr="00DE7ECA">
        <w:rPr>
          <w:rFonts w:ascii="Century Gothic" w:hAnsi="Century Gothic"/>
        </w:rPr>
        <w:t>Cette composante comprend d’une part la réalisation des travaux d’extension et de densification du réseau de Kindia ainsi que la construction de la ligne moyenne tension Kindia-</w:t>
      </w:r>
      <w:proofErr w:type="spellStart"/>
      <w:r w:rsidRPr="00DE7ECA">
        <w:rPr>
          <w:rFonts w:ascii="Century Gothic" w:hAnsi="Century Gothic"/>
        </w:rPr>
        <w:t>Donkéa</w:t>
      </w:r>
      <w:proofErr w:type="spellEnd"/>
      <w:r w:rsidRPr="00DE7ECA">
        <w:rPr>
          <w:rFonts w:ascii="Century Gothic" w:hAnsi="Century Gothic"/>
        </w:rPr>
        <w:t xml:space="preserve">, l’extension et la densification du réseau de la ville de Labé, le renforcement et l’extension de l’accès au réseau à Mamou, Pita, </w:t>
      </w:r>
      <w:proofErr w:type="spellStart"/>
      <w:r w:rsidRPr="00DE7ECA">
        <w:rPr>
          <w:rFonts w:ascii="Century Gothic" w:hAnsi="Century Gothic"/>
        </w:rPr>
        <w:t>Dalaba</w:t>
      </w:r>
      <w:proofErr w:type="spellEnd"/>
      <w:r w:rsidRPr="00DE7ECA">
        <w:rPr>
          <w:rFonts w:ascii="Century Gothic" w:hAnsi="Century Gothic"/>
        </w:rPr>
        <w:t>, l’électrification rurale basée sur le réseau le long de la ligne Mamou–Labé et la construction de la ligne moyenne tension Mamou–Labé. D’autre part il s’agira des améliorations opérationnelles et la numérisation d’EDG à travers l’appui à la transformation numérique des opérations commerciales d’EDG.</w:t>
      </w:r>
    </w:p>
    <w:p w14:paraId="2F0AEAE8" w14:textId="2CE9B904" w:rsidR="00DE7ECA" w:rsidRPr="00DE7ECA" w:rsidRDefault="00DE7ECA" w:rsidP="00DE7ECA">
      <w:pPr>
        <w:jc w:val="both"/>
        <w:rPr>
          <w:rFonts w:ascii="Century Gothic" w:hAnsi="Century Gothic"/>
          <w:b/>
        </w:rPr>
      </w:pPr>
      <w:r w:rsidRPr="00DE7ECA">
        <w:rPr>
          <w:rFonts w:ascii="Century Gothic" w:hAnsi="Century Gothic"/>
          <w:b/>
        </w:rPr>
        <w:t xml:space="preserve">Composante </w:t>
      </w:r>
      <w:r>
        <w:rPr>
          <w:rFonts w:ascii="Century Gothic" w:hAnsi="Century Gothic"/>
          <w:b/>
        </w:rPr>
        <w:t>2</w:t>
      </w:r>
      <w:r w:rsidRPr="00DE7ECA">
        <w:rPr>
          <w:rFonts w:ascii="Century Gothic" w:hAnsi="Century Gothic"/>
          <w:b/>
        </w:rPr>
        <w:t> : Électrification hors réseau à travers des mini-réseaux hybrides exploités par des opérateurs privés</w:t>
      </w:r>
    </w:p>
    <w:p w14:paraId="21F48DA0" w14:textId="77777777" w:rsidR="00DE7ECA" w:rsidRPr="00DE7ECA" w:rsidRDefault="00DE7ECA" w:rsidP="00DE7ECA">
      <w:pPr>
        <w:jc w:val="both"/>
        <w:rPr>
          <w:rFonts w:ascii="Century Gothic" w:hAnsi="Century Gothic"/>
        </w:rPr>
      </w:pPr>
      <w:r w:rsidRPr="00DE7ECA">
        <w:rPr>
          <w:rFonts w:ascii="Century Gothic" w:hAnsi="Century Gothic"/>
        </w:rPr>
        <w:t>Cette composante vise à élargir le programme pilote d’électrification de localités rurales par des mini-réseaux hybrides exploités par des opérateurs privés, lancé dans le cadre du PAAEG 1 en électrifiant 26 localités supplémentaires et permettre de raccorder 36 041 ménages et 4 258 petites entreprises à l’aide de mini-réseaux alimentés par des systèmes hybrides comportant 80 pour cent de production renouvelable (production solaire associée à des systèmes de stockage par batteries, ou mini-hydroélectricité, qui représenteront 95 pour cent de l’investissement total) et un générateur diesel de secours.</w:t>
      </w:r>
    </w:p>
    <w:p w14:paraId="0BCD2915" w14:textId="173DB6D1" w:rsidR="00DE7ECA" w:rsidRDefault="00946D51" w:rsidP="004E021E">
      <w:pPr>
        <w:spacing w:before="120" w:after="120"/>
        <w:jc w:val="both"/>
        <w:rPr>
          <w:rFonts w:ascii="Century Gothic" w:hAnsi="Century Gothic"/>
        </w:rPr>
      </w:pPr>
      <w:r>
        <w:rPr>
          <w:rFonts w:ascii="Century Gothic" w:hAnsi="Century Gothic"/>
        </w:rPr>
        <w:t>Ainsi p</w:t>
      </w:r>
      <w:r w:rsidR="00DE7ECA">
        <w:rPr>
          <w:rFonts w:ascii="Century Gothic" w:hAnsi="Century Gothic"/>
        </w:rPr>
        <w:t xml:space="preserve">our le compte de la Composante 1, il est prévu la </w:t>
      </w:r>
      <w:r w:rsidR="00DE7ECA" w:rsidRPr="0049769A">
        <w:rPr>
          <w:rFonts w:ascii="Century Gothic" w:hAnsi="Century Gothic"/>
        </w:rPr>
        <w:t>réhabilitation</w:t>
      </w:r>
      <w:r w:rsidR="00DE7ECA">
        <w:rPr>
          <w:rFonts w:ascii="Century Gothic" w:hAnsi="Century Gothic"/>
        </w:rPr>
        <w:t xml:space="preserve">, le </w:t>
      </w:r>
      <w:r w:rsidR="00DE7ECA" w:rsidRPr="0049769A">
        <w:rPr>
          <w:rFonts w:ascii="Century Gothic" w:hAnsi="Century Gothic"/>
        </w:rPr>
        <w:t xml:space="preserve">renforcement et </w:t>
      </w:r>
      <w:r w:rsidR="00DE7ECA">
        <w:rPr>
          <w:rFonts w:ascii="Century Gothic" w:hAnsi="Century Gothic"/>
        </w:rPr>
        <w:t>l</w:t>
      </w:r>
      <w:r w:rsidR="00DE7ECA" w:rsidRPr="0049769A">
        <w:rPr>
          <w:rFonts w:ascii="Century Gothic" w:hAnsi="Century Gothic"/>
        </w:rPr>
        <w:t xml:space="preserve">’extension des réseaux de distribution électriques HTA et BT du centre urbain de </w:t>
      </w:r>
      <w:r w:rsidR="00DD629E">
        <w:rPr>
          <w:rFonts w:ascii="Century Gothic" w:hAnsi="Century Gothic"/>
          <w:b/>
        </w:rPr>
        <w:t>Kindia</w:t>
      </w:r>
      <w:r w:rsidR="00DE7ECA" w:rsidRPr="0049769A">
        <w:rPr>
          <w:rFonts w:ascii="Century Gothic" w:hAnsi="Century Gothic"/>
        </w:rPr>
        <w:t xml:space="preserve"> et l</w:t>
      </w:r>
      <w:r w:rsidR="00DD629E">
        <w:rPr>
          <w:rFonts w:ascii="Century Gothic" w:hAnsi="Century Gothic"/>
        </w:rPr>
        <w:t xml:space="preserve">a réhabilitation de la ligne </w:t>
      </w:r>
      <w:proofErr w:type="spellStart"/>
      <w:r w:rsidR="00DD629E">
        <w:rPr>
          <w:rFonts w:ascii="Century Gothic" w:hAnsi="Century Gothic"/>
        </w:rPr>
        <w:t>Donkéa</w:t>
      </w:r>
      <w:proofErr w:type="spellEnd"/>
      <w:r w:rsidR="00DD629E">
        <w:rPr>
          <w:rFonts w:ascii="Century Gothic" w:hAnsi="Century Gothic"/>
        </w:rPr>
        <w:t>-Kindia</w:t>
      </w:r>
      <w:r>
        <w:rPr>
          <w:rFonts w:ascii="Century Gothic" w:hAnsi="Century Gothic"/>
        </w:rPr>
        <w:t>.</w:t>
      </w:r>
    </w:p>
    <w:p w14:paraId="1BDBC990" w14:textId="3990796F" w:rsidR="00DE7ECA" w:rsidRDefault="00946D51" w:rsidP="004E021E">
      <w:pPr>
        <w:spacing w:before="120" w:after="120"/>
        <w:jc w:val="both"/>
        <w:rPr>
          <w:rFonts w:ascii="Century Gothic" w:hAnsi="Century Gothic"/>
        </w:rPr>
      </w:pPr>
      <w:r>
        <w:rPr>
          <w:rFonts w:ascii="Century Gothic" w:hAnsi="Century Gothic"/>
        </w:rPr>
        <w:t>A cet effet, avant d’entamer le processus de sélection du Constructeur, le présent avis d’engagement précoce est lancé pour consulter les potentiels soumissionnaires.</w:t>
      </w:r>
    </w:p>
    <w:p w14:paraId="288548B4" w14:textId="77777777" w:rsidR="001968A4" w:rsidRPr="00A028ED" w:rsidRDefault="00A715C2" w:rsidP="00437801">
      <w:pPr>
        <w:outlineLvl w:val="0"/>
        <w:rPr>
          <w:rFonts w:ascii="Century Gothic" w:hAnsi="Century Gothic" w:cs="Times New Roman"/>
          <w:b/>
          <w:sz w:val="24"/>
          <w:szCs w:val="24"/>
        </w:rPr>
      </w:pPr>
      <w:r w:rsidRPr="00A028ED">
        <w:rPr>
          <w:rFonts w:ascii="Century Gothic" w:hAnsi="Century Gothic" w:cs="Times New Roman"/>
          <w:b/>
          <w:sz w:val="24"/>
          <w:szCs w:val="24"/>
        </w:rPr>
        <w:t>2. OBJECTIFS DE LA CONSULTATION</w:t>
      </w:r>
    </w:p>
    <w:p w14:paraId="1C42DAA3" w14:textId="77777777" w:rsidR="001968A4" w:rsidRPr="00A028ED" w:rsidRDefault="00A715C2">
      <w:pPr>
        <w:rPr>
          <w:rFonts w:ascii="Century Gothic" w:hAnsi="Century Gothic"/>
        </w:rPr>
      </w:pPr>
      <w:r w:rsidRPr="00A028ED">
        <w:rPr>
          <w:rFonts w:ascii="Century Gothic" w:hAnsi="Century Gothic"/>
        </w:rPr>
        <w:t>Les objectifs de cette démarche se présentent comme suit :</w:t>
      </w:r>
    </w:p>
    <w:p w14:paraId="4BCA705D" w14:textId="16215334" w:rsidR="001968A4" w:rsidRPr="00A028ED" w:rsidRDefault="00A715C2">
      <w:pPr>
        <w:pStyle w:val="Par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lastRenderedPageBreak/>
        <w:t>Évaluer l’intérêt des acteurs du marché pour le projet proposé</w:t>
      </w:r>
      <w:r w:rsidR="00425928" w:rsidRPr="00A028ED">
        <w:rPr>
          <w:rFonts w:ascii="Century Gothic" w:eastAsiaTheme="minorEastAsia" w:hAnsi="Century Gothic" w:cstheme="minorBidi"/>
          <w:sz w:val="22"/>
          <w:szCs w:val="22"/>
          <w:lang w:eastAsia="en-US"/>
        </w:rPr>
        <w:t> ;</w:t>
      </w:r>
    </w:p>
    <w:p w14:paraId="30456EC3" w14:textId="0F5299F3" w:rsidR="001968A4" w:rsidRPr="00A028ED" w:rsidRDefault="00A715C2">
      <w:pPr>
        <w:pStyle w:val="Par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Recueillir des retours sur les principales exigences, les risques et les opportunités du projet</w:t>
      </w:r>
      <w:r w:rsidR="00425928" w:rsidRPr="00A028ED">
        <w:rPr>
          <w:rFonts w:ascii="Century Gothic" w:eastAsiaTheme="minorEastAsia" w:hAnsi="Century Gothic" w:cstheme="minorBidi"/>
          <w:sz w:val="22"/>
          <w:szCs w:val="22"/>
          <w:lang w:eastAsia="en-US"/>
        </w:rPr>
        <w:t> ;</w:t>
      </w:r>
    </w:p>
    <w:p w14:paraId="72B6F38C" w14:textId="454457B4" w:rsidR="001968A4" w:rsidRPr="00A028ED" w:rsidRDefault="00A715C2">
      <w:pPr>
        <w:pStyle w:val="Par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Identifier les partenaires potentiels du secteur privé</w:t>
      </w:r>
      <w:r w:rsidR="00425928" w:rsidRPr="00A028ED">
        <w:rPr>
          <w:rFonts w:ascii="Century Gothic" w:eastAsiaTheme="minorEastAsia" w:hAnsi="Century Gothic" w:cstheme="minorBidi"/>
          <w:sz w:val="22"/>
          <w:szCs w:val="22"/>
          <w:lang w:eastAsia="en-US"/>
        </w:rPr>
        <w:t> ;</w:t>
      </w:r>
    </w:p>
    <w:p w14:paraId="6FAA315A" w14:textId="69E55C3F" w:rsidR="001968A4" w:rsidRPr="00A028ED" w:rsidRDefault="00A715C2">
      <w:pPr>
        <w:pStyle w:val="Par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Optimiser la structuration du projet avant le lancement d’un éventuel appel d’offres</w:t>
      </w:r>
      <w:r w:rsidR="00425928" w:rsidRPr="00A028ED">
        <w:rPr>
          <w:rFonts w:ascii="Century Gothic" w:eastAsiaTheme="minorEastAsia" w:hAnsi="Century Gothic" w:cstheme="minorBidi"/>
          <w:sz w:val="22"/>
          <w:szCs w:val="22"/>
          <w:lang w:eastAsia="en-US"/>
        </w:rPr>
        <w:t> ;</w:t>
      </w:r>
    </w:p>
    <w:p w14:paraId="605B6270" w14:textId="4C9C58BF" w:rsidR="00425928" w:rsidRPr="00A028ED" w:rsidRDefault="00425928" w:rsidP="00425928">
      <w:pPr>
        <w:pStyle w:val="Pardeliste"/>
        <w:numPr>
          <w:ilvl w:val="0"/>
          <w:numId w:val="1"/>
        </w:numPr>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Maximiser la participation d’entreprises qualifiées tout en respectant les principes de transparence, d’équité et de concurrence.</w:t>
      </w:r>
    </w:p>
    <w:p w14:paraId="6F342E52" w14:textId="70EC3666" w:rsidR="001968A4" w:rsidRDefault="00A715C2" w:rsidP="00437801">
      <w:pPr>
        <w:spacing w:after="0" w:line="240" w:lineRule="auto"/>
        <w:outlineLvl w:val="0"/>
        <w:rPr>
          <w:rFonts w:ascii="Century Gothic" w:hAnsi="Century Gothic" w:cs="Times New Roman"/>
          <w:b/>
          <w:sz w:val="24"/>
          <w:szCs w:val="24"/>
        </w:rPr>
      </w:pPr>
      <w:r w:rsidRPr="00A028ED">
        <w:rPr>
          <w:rFonts w:ascii="Century Gothic" w:hAnsi="Century Gothic" w:cs="Times New Roman"/>
          <w:b/>
          <w:sz w:val="24"/>
          <w:szCs w:val="24"/>
        </w:rPr>
        <w:t xml:space="preserve">3. </w:t>
      </w:r>
      <w:r w:rsidR="00BA502A">
        <w:rPr>
          <w:rFonts w:ascii="Century Gothic" w:hAnsi="Century Gothic" w:cs="Times New Roman"/>
          <w:b/>
          <w:sz w:val="24"/>
          <w:szCs w:val="24"/>
        </w:rPr>
        <w:t>CONTEXTE</w:t>
      </w:r>
      <w:r w:rsidRPr="00A028ED">
        <w:rPr>
          <w:rFonts w:ascii="Century Gothic" w:hAnsi="Century Gothic" w:cs="Times New Roman"/>
          <w:b/>
          <w:sz w:val="24"/>
          <w:szCs w:val="24"/>
        </w:rPr>
        <w:t xml:space="preserve"> DU PROJET</w:t>
      </w:r>
    </w:p>
    <w:p w14:paraId="007EFBA1" w14:textId="77777777" w:rsidR="007E33FE" w:rsidRDefault="007E33FE" w:rsidP="00BA502A">
      <w:pPr>
        <w:spacing w:after="0" w:line="240" w:lineRule="auto"/>
        <w:jc w:val="both"/>
        <w:rPr>
          <w:rFonts w:ascii="Century Gothic" w:hAnsi="Century Gothic"/>
        </w:rPr>
      </w:pPr>
    </w:p>
    <w:p w14:paraId="4633239F" w14:textId="77777777" w:rsidR="00C44A30" w:rsidRPr="00C44A30" w:rsidRDefault="00BA2C64" w:rsidP="00BA502A">
      <w:pPr>
        <w:spacing w:after="0" w:line="240" w:lineRule="auto"/>
        <w:jc w:val="both"/>
        <w:rPr>
          <w:rFonts w:ascii="Century Gothic" w:hAnsi="Century Gothic"/>
        </w:rPr>
      </w:pPr>
      <w:r w:rsidRPr="00C44A30">
        <w:rPr>
          <w:rFonts w:ascii="Century Gothic" w:hAnsi="Century Gothic"/>
        </w:rPr>
        <w:t>L</w:t>
      </w:r>
      <w:r w:rsidR="00AA4196" w:rsidRPr="00C44A30">
        <w:rPr>
          <w:rFonts w:ascii="Century Gothic" w:hAnsi="Century Gothic"/>
        </w:rPr>
        <w:t>es populations</w:t>
      </w:r>
      <w:r w:rsidR="00F6772F" w:rsidRPr="00C44A30">
        <w:rPr>
          <w:rFonts w:ascii="Century Gothic" w:hAnsi="Century Gothic"/>
        </w:rPr>
        <w:t xml:space="preserve"> de la ville de </w:t>
      </w:r>
      <w:r w:rsidR="00DD629E" w:rsidRPr="00C44A30">
        <w:rPr>
          <w:rFonts w:ascii="Century Gothic" w:hAnsi="Century Gothic"/>
        </w:rPr>
        <w:t>Kindia</w:t>
      </w:r>
      <w:r w:rsidR="00AA4196" w:rsidRPr="00C44A30">
        <w:rPr>
          <w:rFonts w:ascii="Century Gothic" w:hAnsi="Century Gothic"/>
        </w:rPr>
        <w:t xml:space="preserve"> sont confrontées aux problèmes de couverture et de qualité de l’énergie électrique</w:t>
      </w:r>
      <w:r w:rsidR="000E0AF2" w:rsidRPr="00C44A30">
        <w:rPr>
          <w:rFonts w:ascii="Century Gothic" w:hAnsi="Century Gothic"/>
        </w:rPr>
        <w:t>.</w:t>
      </w:r>
      <w:r w:rsidR="00AA4196" w:rsidRPr="00C44A30">
        <w:rPr>
          <w:rFonts w:ascii="Century Gothic" w:hAnsi="Century Gothic"/>
        </w:rPr>
        <w:t xml:space="preserve"> </w:t>
      </w:r>
      <w:r w:rsidR="000E0AF2" w:rsidRPr="00C44A30">
        <w:rPr>
          <w:rFonts w:ascii="Century Gothic" w:hAnsi="Century Gothic"/>
        </w:rPr>
        <w:t>C</w:t>
      </w:r>
      <w:r w:rsidR="00AA4196" w:rsidRPr="00C44A30">
        <w:rPr>
          <w:rFonts w:ascii="Century Gothic" w:hAnsi="Century Gothic"/>
        </w:rPr>
        <w:t>e</w:t>
      </w:r>
      <w:r w:rsidR="000E0AF2" w:rsidRPr="00C44A30">
        <w:rPr>
          <w:rFonts w:ascii="Century Gothic" w:hAnsi="Century Gothic"/>
        </w:rPr>
        <w:t xml:space="preserve">tte situation a </w:t>
      </w:r>
      <w:r w:rsidR="00F97793" w:rsidRPr="00C44A30">
        <w:rPr>
          <w:rFonts w:ascii="Century Gothic" w:hAnsi="Century Gothic"/>
        </w:rPr>
        <w:t xml:space="preserve">conduit au </w:t>
      </w:r>
      <w:r w:rsidR="00946D51" w:rsidRPr="00C44A30">
        <w:rPr>
          <w:rFonts w:ascii="Century Gothic" w:hAnsi="Century Gothic"/>
        </w:rPr>
        <w:t>développement des</w:t>
      </w:r>
      <w:r w:rsidR="00AA4196" w:rsidRPr="00C44A30">
        <w:rPr>
          <w:rFonts w:ascii="Century Gothic" w:hAnsi="Century Gothic"/>
        </w:rPr>
        <w:t xml:space="preserve"> réseaux électriques de fortune dont la tension en bout de ligne </w:t>
      </w:r>
      <w:r w:rsidR="00F97793" w:rsidRPr="00C44A30">
        <w:rPr>
          <w:rFonts w:ascii="Century Gothic" w:hAnsi="Century Gothic"/>
        </w:rPr>
        <w:t>est hors normes</w:t>
      </w:r>
      <w:r w:rsidR="00BA502A" w:rsidRPr="00C44A30">
        <w:rPr>
          <w:rFonts w:ascii="Century Gothic" w:hAnsi="Century Gothic"/>
        </w:rPr>
        <w:t xml:space="preserve"> </w:t>
      </w:r>
      <w:r w:rsidR="00946D51" w:rsidRPr="00C44A30">
        <w:rPr>
          <w:rFonts w:ascii="Century Gothic" w:hAnsi="Century Gothic"/>
        </w:rPr>
        <w:t>et à</w:t>
      </w:r>
      <w:r w:rsidR="00AA4196" w:rsidRPr="00C44A30">
        <w:rPr>
          <w:rFonts w:ascii="Century Gothic" w:hAnsi="Century Gothic"/>
        </w:rPr>
        <w:t xml:space="preserve"> l’origine de perturbations sur le réseau de </w:t>
      </w:r>
      <w:r w:rsidR="00946D51" w:rsidRPr="00C44A30">
        <w:rPr>
          <w:rFonts w:ascii="Century Gothic" w:hAnsi="Century Gothic"/>
        </w:rPr>
        <w:t>distribution avec</w:t>
      </w:r>
      <w:r w:rsidR="00C04135" w:rsidRPr="00C44A30">
        <w:rPr>
          <w:rFonts w:ascii="Century Gothic" w:hAnsi="Century Gothic"/>
        </w:rPr>
        <w:t xml:space="preserve"> des</w:t>
      </w:r>
      <w:r w:rsidR="00AA4196" w:rsidRPr="00C44A30">
        <w:rPr>
          <w:rFonts w:ascii="Century Gothic" w:hAnsi="Century Gothic"/>
        </w:rPr>
        <w:t xml:space="preserve"> pertes techniques</w:t>
      </w:r>
      <w:r w:rsidR="00C04135" w:rsidRPr="00C44A30">
        <w:rPr>
          <w:rFonts w:ascii="Century Gothic" w:hAnsi="Century Gothic"/>
        </w:rPr>
        <w:t xml:space="preserve"> </w:t>
      </w:r>
      <w:r w:rsidR="00EF086E" w:rsidRPr="00C44A30">
        <w:rPr>
          <w:rFonts w:ascii="Century Gothic" w:hAnsi="Century Gothic"/>
        </w:rPr>
        <w:t>élevées.</w:t>
      </w:r>
      <w:r w:rsidR="00BA502A" w:rsidRPr="00C44A30">
        <w:rPr>
          <w:rFonts w:ascii="Century Gothic" w:hAnsi="Century Gothic"/>
        </w:rPr>
        <w:t xml:space="preserve"> </w:t>
      </w:r>
    </w:p>
    <w:p w14:paraId="6DF4F047" w14:textId="5CAA6C72" w:rsidR="00946D51" w:rsidRPr="00C44A30" w:rsidRDefault="00C44A30" w:rsidP="00BA502A">
      <w:pPr>
        <w:spacing w:after="0" w:line="240" w:lineRule="auto"/>
        <w:jc w:val="both"/>
        <w:rPr>
          <w:rFonts w:ascii="Century Gothic" w:hAnsi="Century Gothic"/>
        </w:rPr>
      </w:pPr>
      <w:r w:rsidRPr="00C44A30">
        <w:rPr>
          <w:rFonts w:ascii="Century Gothic" w:hAnsi="Century Gothic"/>
        </w:rPr>
        <w:t>Aujourd’hui avec les travaux de</w:t>
      </w:r>
      <w:r w:rsidR="000E0AF2" w:rsidRPr="00C44A30">
        <w:rPr>
          <w:rFonts w:ascii="Century Gothic" w:hAnsi="Century Gothic"/>
        </w:rPr>
        <w:t xml:space="preserve"> réhabilitation et </w:t>
      </w:r>
      <w:r>
        <w:rPr>
          <w:rFonts w:ascii="Century Gothic" w:hAnsi="Century Gothic"/>
        </w:rPr>
        <w:t>de</w:t>
      </w:r>
      <w:r w:rsidR="000E0AF2" w:rsidRPr="00C44A30">
        <w:rPr>
          <w:rFonts w:ascii="Century Gothic" w:hAnsi="Century Gothic"/>
        </w:rPr>
        <w:t xml:space="preserve"> renforcement du poste source de Kindia qui passe de 15 à 100MVA</w:t>
      </w:r>
      <w:r>
        <w:rPr>
          <w:rFonts w:ascii="Century Gothic" w:hAnsi="Century Gothic"/>
        </w:rPr>
        <w:t>,</w:t>
      </w:r>
      <w:r w:rsidR="000E0AF2" w:rsidRPr="00C44A30">
        <w:rPr>
          <w:rFonts w:ascii="Century Gothic" w:hAnsi="Century Gothic"/>
        </w:rPr>
        <w:t xml:space="preserve"> </w:t>
      </w:r>
      <w:r w:rsidRPr="00C44A30">
        <w:rPr>
          <w:rFonts w:ascii="Century Gothic" w:hAnsi="Century Gothic"/>
        </w:rPr>
        <w:t xml:space="preserve">nous </w:t>
      </w:r>
      <w:r w:rsidR="000E0AF2" w:rsidRPr="00C44A30">
        <w:rPr>
          <w:rFonts w:ascii="Century Gothic" w:hAnsi="Century Gothic"/>
        </w:rPr>
        <w:t>d</w:t>
      </w:r>
      <w:r w:rsidRPr="00C44A30">
        <w:rPr>
          <w:rFonts w:ascii="Century Gothic" w:hAnsi="Century Gothic"/>
        </w:rPr>
        <w:t>onne la possibilité de</w:t>
      </w:r>
      <w:r w:rsidR="000E0AF2" w:rsidRPr="00C44A30">
        <w:rPr>
          <w:rFonts w:ascii="Century Gothic" w:hAnsi="Century Gothic"/>
        </w:rPr>
        <w:t xml:space="preserve"> faire l’extension des réseaux</w:t>
      </w:r>
      <w:r w:rsidR="00437801">
        <w:rPr>
          <w:rFonts w:ascii="Century Gothic" w:hAnsi="Century Gothic"/>
        </w:rPr>
        <w:t xml:space="preserve"> de distribution</w:t>
      </w:r>
      <w:r w:rsidR="000E0AF2" w:rsidRPr="00C44A30">
        <w:rPr>
          <w:rFonts w:ascii="Century Gothic" w:hAnsi="Century Gothic"/>
        </w:rPr>
        <w:t xml:space="preserve">. </w:t>
      </w:r>
    </w:p>
    <w:p w14:paraId="7BEF4DF5" w14:textId="77777777" w:rsidR="00946D51" w:rsidRPr="00DD629E" w:rsidRDefault="00946D51" w:rsidP="00BA502A">
      <w:pPr>
        <w:spacing w:after="0" w:line="240" w:lineRule="auto"/>
        <w:jc w:val="both"/>
        <w:rPr>
          <w:rFonts w:ascii="Century Gothic" w:hAnsi="Century Gothic"/>
          <w:highlight w:val="yellow"/>
        </w:rPr>
      </w:pPr>
    </w:p>
    <w:p w14:paraId="356A9579" w14:textId="3168DCEC" w:rsidR="00874268" w:rsidRPr="0067094A" w:rsidRDefault="00EC1643" w:rsidP="00BA502A">
      <w:pPr>
        <w:pStyle w:val="Pardeliste"/>
        <w:spacing w:after="0"/>
        <w:ind w:left="993" w:hanging="426"/>
        <w:rPr>
          <w:rFonts w:ascii="Century Gothic" w:hAnsi="Century Gothic"/>
          <w:b/>
          <w:bCs/>
          <w:szCs w:val="24"/>
        </w:rPr>
      </w:pPr>
      <w:r w:rsidRPr="0067094A">
        <w:rPr>
          <w:rFonts w:ascii="Century Gothic" w:hAnsi="Century Gothic"/>
          <w:b/>
          <w:bCs/>
          <w:szCs w:val="24"/>
        </w:rPr>
        <w:t>3</w:t>
      </w:r>
      <w:r w:rsidR="00874268" w:rsidRPr="0067094A">
        <w:rPr>
          <w:rFonts w:ascii="Century Gothic" w:hAnsi="Century Gothic"/>
          <w:b/>
          <w:bCs/>
          <w:szCs w:val="24"/>
        </w:rPr>
        <w:t>.</w:t>
      </w:r>
      <w:r w:rsidRPr="0067094A">
        <w:rPr>
          <w:rFonts w:ascii="Century Gothic" w:hAnsi="Century Gothic"/>
          <w:b/>
          <w:bCs/>
          <w:szCs w:val="24"/>
        </w:rPr>
        <w:t>1.</w:t>
      </w:r>
      <w:r w:rsidR="00874268" w:rsidRPr="0067094A">
        <w:rPr>
          <w:rFonts w:ascii="Century Gothic" w:hAnsi="Century Gothic"/>
          <w:b/>
          <w:bCs/>
          <w:szCs w:val="24"/>
        </w:rPr>
        <w:t xml:space="preserve"> OBJECTIF DE DEVELOPPEMENT DU PROJET</w:t>
      </w:r>
    </w:p>
    <w:p w14:paraId="1EF01A36" w14:textId="77777777" w:rsidR="00946D51" w:rsidRPr="0067094A" w:rsidRDefault="00946D51" w:rsidP="00BA502A">
      <w:pPr>
        <w:pStyle w:val="Pardeliste"/>
        <w:spacing w:after="0"/>
        <w:ind w:left="993" w:hanging="426"/>
        <w:rPr>
          <w:rFonts w:ascii="Century Gothic" w:hAnsi="Century Gothic"/>
          <w:b/>
          <w:bCs/>
          <w:szCs w:val="24"/>
        </w:rPr>
      </w:pPr>
    </w:p>
    <w:p w14:paraId="1F07AD87" w14:textId="15608D04" w:rsidR="004E33D8" w:rsidRPr="0067094A" w:rsidRDefault="004E33D8" w:rsidP="00BA502A">
      <w:pPr>
        <w:spacing w:after="0" w:line="240" w:lineRule="auto"/>
        <w:jc w:val="both"/>
        <w:rPr>
          <w:rFonts w:ascii="Century Gothic" w:hAnsi="Century Gothic"/>
        </w:rPr>
      </w:pPr>
      <w:r w:rsidRPr="0067094A">
        <w:rPr>
          <w:rFonts w:ascii="Century Gothic" w:hAnsi="Century Gothic"/>
        </w:rPr>
        <w:t>L’objectif de développement visé par le projet est d’améliorer les conditions de vie des populations ainsi que de la productivité des entreprises bénéficiaires, grâce à l’accès à des services énergétiques réguliers, fiables et moins onéreux</w:t>
      </w:r>
      <w:r w:rsidR="00962A95" w:rsidRPr="0067094A">
        <w:rPr>
          <w:rFonts w:ascii="Century Gothic" w:hAnsi="Century Gothic"/>
        </w:rPr>
        <w:t>.</w:t>
      </w:r>
    </w:p>
    <w:p w14:paraId="7C01D6AD" w14:textId="65800406" w:rsidR="00962A95" w:rsidRPr="0067094A" w:rsidRDefault="00962A95" w:rsidP="00BA502A">
      <w:pPr>
        <w:spacing w:after="0" w:line="240" w:lineRule="auto"/>
        <w:jc w:val="both"/>
        <w:rPr>
          <w:rFonts w:ascii="Century Gothic" w:hAnsi="Century Gothic"/>
        </w:rPr>
      </w:pPr>
      <w:r w:rsidRPr="0067094A">
        <w:rPr>
          <w:rFonts w:ascii="Century Gothic" w:hAnsi="Century Gothic"/>
        </w:rPr>
        <w:t>De façon spécifique, le projet permettra</w:t>
      </w:r>
      <w:r w:rsidR="00C04135" w:rsidRPr="0067094A">
        <w:rPr>
          <w:rFonts w:ascii="Century Gothic" w:hAnsi="Century Gothic"/>
        </w:rPr>
        <w:t xml:space="preserve"> de</w:t>
      </w:r>
      <w:r w:rsidRPr="0067094A">
        <w:rPr>
          <w:rFonts w:ascii="Century Gothic" w:hAnsi="Century Gothic"/>
        </w:rPr>
        <w:t xml:space="preserve"> :</w:t>
      </w:r>
    </w:p>
    <w:p w14:paraId="0498E4AB" w14:textId="6EC7B0F1" w:rsidR="004E33D8" w:rsidRPr="0067094A" w:rsidRDefault="004E33D8" w:rsidP="00BA502A">
      <w:pPr>
        <w:spacing w:after="0" w:line="240" w:lineRule="auto"/>
        <w:jc w:val="both"/>
        <w:rPr>
          <w:rFonts w:ascii="Century Gothic" w:hAnsi="Century Gothic"/>
        </w:rPr>
      </w:pPr>
      <w:r w:rsidRPr="0067094A">
        <w:rPr>
          <w:rFonts w:ascii="Century Gothic" w:hAnsi="Century Gothic"/>
        </w:rPr>
        <w:t>(i)</w:t>
      </w:r>
      <w:r w:rsidRPr="0067094A">
        <w:rPr>
          <w:rFonts w:ascii="Century Gothic" w:hAnsi="Century Gothic"/>
        </w:rPr>
        <w:tab/>
      </w:r>
      <w:r w:rsidR="00962A95" w:rsidRPr="0067094A">
        <w:rPr>
          <w:rFonts w:ascii="Century Gothic" w:hAnsi="Century Gothic"/>
        </w:rPr>
        <w:t xml:space="preserve"> </w:t>
      </w:r>
      <w:r w:rsidRPr="0067094A">
        <w:rPr>
          <w:rFonts w:ascii="Century Gothic" w:hAnsi="Century Gothic"/>
        </w:rPr>
        <w:t>facilit</w:t>
      </w:r>
      <w:r w:rsidR="00962A95" w:rsidRPr="0067094A">
        <w:rPr>
          <w:rFonts w:ascii="Century Gothic" w:hAnsi="Century Gothic"/>
        </w:rPr>
        <w:t>er</w:t>
      </w:r>
      <w:r w:rsidRPr="0067094A">
        <w:rPr>
          <w:rFonts w:ascii="Century Gothic" w:hAnsi="Century Gothic"/>
        </w:rPr>
        <w:t xml:space="preserve"> l’accès des ménages, des services sociaux de base et des entreprises à des services énergétiques fiables et durables ; </w:t>
      </w:r>
    </w:p>
    <w:p w14:paraId="15613D78" w14:textId="1A36A158" w:rsidR="003C5917" w:rsidRPr="0067094A" w:rsidRDefault="004E33D8" w:rsidP="00BA502A">
      <w:pPr>
        <w:spacing w:after="0" w:line="240" w:lineRule="auto"/>
        <w:jc w:val="both"/>
        <w:rPr>
          <w:rFonts w:ascii="Century Gothic" w:hAnsi="Century Gothic"/>
        </w:rPr>
      </w:pPr>
      <w:r w:rsidRPr="0067094A">
        <w:rPr>
          <w:rFonts w:ascii="Century Gothic" w:hAnsi="Century Gothic"/>
        </w:rPr>
        <w:t>(ii)</w:t>
      </w:r>
      <w:r w:rsidRPr="0067094A">
        <w:rPr>
          <w:rFonts w:ascii="Century Gothic" w:hAnsi="Century Gothic"/>
        </w:rPr>
        <w:tab/>
      </w:r>
      <w:r w:rsidR="00962A95" w:rsidRPr="0067094A">
        <w:rPr>
          <w:rFonts w:ascii="Century Gothic" w:hAnsi="Century Gothic"/>
        </w:rPr>
        <w:t>R</w:t>
      </w:r>
      <w:r w:rsidRPr="0067094A">
        <w:rPr>
          <w:rFonts w:ascii="Century Gothic" w:hAnsi="Century Gothic"/>
        </w:rPr>
        <w:t>enfor</w:t>
      </w:r>
      <w:r w:rsidR="00962A95" w:rsidRPr="0067094A">
        <w:rPr>
          <w:rFonts w:ascii="Century Gothic" w:hAnsi="Century Gothic"/>
        </w:rPr>
        <w:t>cer</w:t>
      </w:r>
      <w:r w:rsidRPr="0067094A">
        <w:rPr>
          <w:rFonts w:ascii="Century Gothic" w:hAnsi="Century Gothic"/>
        </w:rPr>
        <w:t xml:space="preserve"> les capacités des acteurs publics du sous-secteur de l’électricité, notamment   Electricité de Guinée (EDG-SA)</w:t>
      </w:r>
      <w:r w:rsidR="00C04135" w:rsidRPr="0067094A">
        <w:rPr>
          <w:rFonts w:ascii="Century Gothic" w:hAnsi="Century Gothic"/>
        </w:rPr>
        <w:t xml:space="preserve"> et le Ministère en charge de l’Energie</w:t>
      </w:r>
    </w:p>
    <w:p w14:paraId="3FE1FDE5" w14:textId="77777777" w:rsidR="001968A4" w:rsidRPr="00F72B59" w:rsidRDefault="001968A4" w:rsidP="00BA502A">
      <w:pPr>
        <w:pStyle w:val="Pardeliste"/>
        <w:spacing w:after="0"/>
        <w:ind w:left="0" w:firstLine="0"/>
        <w:rPr>
          <w:rFonts w:ascii="Century Gothic" w:hAnsi="Century Gothic"/>
          <w:szCs w:val="24"/>
        </w:rPr>
      </w:pPr>
    </w:p>
    <w:p w14:paraId="6854AFD1" w14:textId="6AED61FD" w:rsidR="00337631" w:rsidRPr="00F72B59" w:rsidRDefault="00EC1643" w:rsidP="00BA502A">
      <w:pPr>
        <w:pStyle w:val="Pardeliste"/>
        <w:spacing w:after="0"/>
        <w:ind w:left="993" w:hanging="426"/>
        <w:rPr>
          <w:rFonts w:ascii="Century Gothic" w:hAnsi="Century Gothic"/>
          <w:b/>
          <w:bCs/>
          <w:szCs w:val="24"/>
        </w:rPr>
      </w:pPr>
      <w:r w:rsidRPr="00F72B59">
        <w:rPr>
          <w:rFonts w:ascii="Century Gothic" w:hAnsi="Century Gothic"/>
          <w:b/>
          <w:bCs/>
          <w:szCs w:val="24"/>
        </w:rPr>
        <w:t xml:space="preserve">3.2. TRAVAUX PREVUS </w:t>
      </w:r>
      <w:r w:rsidR="00A861CE" w:rsidRPr="00F72B59">
        <w:rPr>
          <w:rFonts w:ascii="Century Gothic" w:hAnsi="Century Gothic"/>
          <w:b/>
          <w:bCs/>
          <w:szCs w:val="24"/>
        </w:rPr>
        <w:t xml:space="preserve">POUR LA </w:t>
      </w:r>
      <w:r w:rsidR="00EF086E" w:rsidRPr="00F72B59">
        <w:rPr>
          <w:rFonts w:ascii="Century Gothic" w:hAnsi="Century Gothic"/>
          <w:b/>
          <w:bCs/>
          <w:szCs w:val="24"/>
        </w:rPr>
        <w:t>SOUS-</w:t>
      </w:r>
      <w:r w:rsidR="00A861CE" w:rsidRPr="00F72B59">
        <w:rPr>
          <w:rFonts w:ascii="Century Gothic" w:hAnsi="Century Gothic"/>
          <w:b/>
          <w:bCs/>
          <w:szCs w:val="24"/>
        </w:rPr>
        <w:t xml:space="preserve">COMPOSANTE </w:t>
      </w:r>
      <w:r w:rsidR="00A861CE" w:rsidRPr="00F72B59">
        <w:rPr>
          <w:rFonts w:ascii="Century Gothic" w:eastAsiaTheme="minorEastAsia" w:hAnsi="Century Gothic" w:cstheme="minorBidi"/>
          <w:iCs/>
          <w:sz w:val="22"/>
          <w:szCs w:val="22"/>
          <w:lang w:eastAsia="en-US"/>
        </w:rPr>
        <w:t>« </w:t>
      </w:r>
      <w:r w:rsidR="00A861CE" w:rsidRPr="00F72B59">
        <w:rPr>
          <w:rFonts w:ascii="Century Gothic" w:hAnsi="Century Gothic"/>
          <w:iCs/>
        </w:rPr>
        <w:t xml:space="preserve">réhabilitation, renforcement et extension des réseaux de distribution électriques HTA et BT du centre urbain de </w:t>
      </w:r>
      <w:r w:rsidR="0067094A" w:rsidRPr="00F72B59">
        <w:rPr>
          <w:rFonts w:ascii="Century Gothic" w:hAnsi="Century Gothic"/>
          <w:iCs/>
        </w:rPr>
        <w:t>Kindia</w:t>
      </w:r>
      <w:r w:rsidR="00A861CE" w:rsidRPr="00F72B59">
        <w:rPr>
          <w:rFonts w:ascii="Century Gothic" w:hAnsi="Century Gothic"/>
          <w:iCs/>
        </w:rPr>
        <w:t xml:space="preserve"> et l</w:t>
      </w:r>
      <w:r w:rsidR="0067094A" w:rsidRPr="00F72B59">
        <w:rPr>
          <w:rFonts w:ascii="Century Gothic" w:hAnsi="Century Gothic"/>
          <w:iCs/>
        </w:rPr>
        <w:t xml:space="preserve">e renforcement de la ligne 15kV </w:t>
      </w:r>
      <w:proofErr w:type="spellStart"/>
      <w:r w:rsidR="00F72B59" w:rsidRPr="00F72B59">
        <w:rPr>
          <w:rFonts w:ascii="Century Gothic" w:hAnsi="Century Gothic"/>
          <w:iCs/>
        </w:rPr>
        <w:t>Donkéa</w:t>
      </w:r>
      <w:proofErr w:type="spellEnd"/>
      <w:r w:rsidR="00F72B59" w:rsidRPr="00F72B59">
        <w:rPr>
          <w:rFonts w:ascii="Century Gothic" w:hAnsi="Century Gothic"/>
          <w:iCs/>
        </w:rPr>
        <w:t xml:space="preserve"> – Kindia </w:t>
      </w:r>
      <w:r w:rsidR="00A861CE" w:rsidRPr="00F72B59">
        <w:rPr>
          <w:rFonts w:ascii="Century Gothic" w:hAnsi="Century Gothic"/>
          <w:iCs/>
        </w:rPr>
        <w:t>».</w:t>
      </w:r>
    </w:p>
    <w:p w14:paraId="0A0E8DF5" w14:textId="77777777" w:rsidR="00337631" w:rsidRPr="00DD629E" w:rsidRDefault="00337631" w:rsidP="00BA502A">
      <w:pPr>
        <w:pStyle w:val="Pardeliste"/>
        <w:spacing w:after="0"/>
        <w:ind w:left="993" w:hanging="426"/>
        <w:rPr>
          <w:rFonts w:ascii="Century Gothic" w:hAnsi="Century Gothic"/>
          <w:bCs/>
          <w:sz w:val="22"/>
          <w:szCs w:val="22"/>
          <w:highlight w:val="yellow"/>
        </w:rPr>
      </w:pPr>
    </w:p>
    <w:p w14:paraId="3E859A42" w14:textId="7133B79A" w:rsidR="00B17456" w:rsidRPr="00F72B59" w:rsidRDefault="00EC1643" w:rsidP="00BA502A">
      <w:pPr>
        <w:spacing w:after="0" w:line="240" w:lineRule="auto"/>
        <w:jc w:val="both"/>
        <w:rPr>
          <w:rFonts w:ascii="Century Gothic" w:hAnsi="Century Gothic"/>
          <w:bCs/>
          <w:iCs/>
        </w:rPr>
      </w:pPr>
      <w:r w:rsidRPr="00F72B59">
        <w:rPr>
          <w:rFonts w:ascii="Century Gothic" w:hAnsi="Century Gothic"/>
          <w:bCs/>
          <w:iCs/>
        </w:rPr>
        <w:t xml:space="preserve">Les </w:t>
      </w:r>
      <w:r w:rsidR="00BA502A" w:rsidRPr="00F72B59">
        <w:rPr>
          <w:rFonts w:ascii="Century Gothic" w:hAnsi="Century Gothic"/>
          <w:bCs/>
          <w:iCs/>
        </w:rPr>
        <w:t>travaux sont</w:t>
      </w:r>
      <w:r w:rsidRPr="00F72B59">
        <w:rPr>
          <w:rFonts w:ascii="Century Gothic" w:hAnsi="Century Gothic"/>
          <w:bCs/>
          <w:iCs/>
        </w:rPr>
        <w:t xml:space="preserve"> répartis </w:t>
      </w:r>
      <w:r w:rsidR="00B17456" w:rsidRPr="00F72B59">
        <w:rPr>
          <w:rFonts w:ascii="Century Gothic" w:hAnsi="Century Gothic"/>
          <w:bCs/>
          <w:iCs/>
        </w:rPr>
        <w:t>comme suit</w:t>
      </w:r>
      <w:r w:rsidR="00BC2A15" w:rsidRPr="00F72B59">
        <w:rPr>
          <w:rFonts w:ascii="Century Gothic" w:hAnsi="Century Gothic"/>
          <w:bCs/>
          <w:iCs/>
        </w:rPr>
        <w:t xml:space="preserve"> :</w:t>
      </w:r>
    </w:p>
    <w:p w14:paraId="681791FE" w14:textId="77777777" w:rsidR="00BA502A" w:rsidRPr="00F72B59" w:rsidRDefault="00BA502A" w:rsidP="00BA502A">
      <w:pPr>
        <w:spacing w:after="0" w:line="240" w:lineRule="auto"/>
        <w:jc w:val="both"/>
        <w:rPr>
          <w:rFonts w:ascii="Century Gothic" w:hAnsi="Century Gothic"/>
          <w:bCs/>
          <w:iCs/>
        </w:rPr>
      </w:pPr>
    </w:p>
    <w:p w14:paraId="07D730EA" w14:textId="04B06A53" w:rsidR="00B17456" w:rsidRPr="00F72B59" w:rsidRDefault="00B17456" w:rsidP="00BA502A">
      <w:pPr>
        <w:pStyle w:val="Pardeliste"/>
        <w:numPr>
          <w:ilvl w:val="0"/>
          <w:numId w:val="16"/>
        </w:numPr>
        <w:spacing w:after="0"/>
        <w:rPr>
          <w:rFonts w:ascii="Century Gothic" w:hAnsi="Century Gothic"/>
        </w:rPr>
      </w:pPr>
      <w:r w:rsidRPr="00F72B59">
        <w:rPr>
          <w:rFonts w:ascii="Century Gothic" w:hAnsi="Century Gothic"/>
        </w:rPr>
        <w:t xml:space="preserve">La Réhabilitation et l’Extension des réseaux de distribution HTA et BT de la ville de </w:t>
      </w:r>
      <w:r w:rsidR="00F72B59" w:rsidRPr="00F72B59">
        <w:rPr>
          <w:rFonts w:ascii="Century Gothic" w:hAnsi="Century Gothic"/>
        </w:rPr>
        <w:t>Kindia ;</w:t>
      </w:r>
    </w:p>
    <w:p w14:paraId="657C2AE4" w14:textId="16117305" w:rsidR="00B17456" w:rsidRPr="00F72B59" w:rsidRDefault="00F72B59" w:rsidP="00BA502A">
      <w:pPr>
        <w:pStyle w:val="Pardeliste"/>
        <w:numPr>
          <w:ilvl w:val="0"/>
          <w:numId w:val="16"/>
        </w:numPr>
        <w:spacing w:after="0"/>
        <w:rPr>
          <w:rFonts w:ascii="Century Gothic" w:hAnsi="Century Gothic"/>
        </w:rPr>
      </w:pPr>
      <w:r w:rsidRPr="00F72B59">
        <w:rPr>
          <w:rFonts w:ascii="Century Gothic" w:hAnsi="Century Gothic"/>
        </w:rPr>
        <w:t xml:space="preserve">Et le </w:t>
      </w:r>
      <w:proofErr w:type="spellStart"/>
      <w:r w:rsidRPr="00F72B59">
        <w:rPr>
          <w:rFonts w:ascii="Century Gothic" w:hAnsi="Century Gothic"/>
        </w:rPr>
        <w:t>renfocement</w:t>
      </w:r>
      <w:proofErr w:type="spellEnd"/>
      <w:r w:rsidRPr="00F72B59">
        <w:rPr>
          <w:rFonts w:ascii="Century Gothic" w:hAnsi="Century Gothic"/>
        </w:rPr>
        <w:t xml:space="preserve"> de la ligne 15kV </w:t>
      </w:r>
      <w:proofErr w:type="spellStart"/>
      <w:r w:rsidRPr="00F72B59">
        <w:rPr>
          <w:rFonts w:ascii="Century Gothic" w:hAnsi="Century Gothic"/>
        </w:rPr>
        <w:t>Donkéa</w:t>
      </w:r>
      <w:proofErr w:type="spellEnd"/>
      <w:r w:rsidRPr="00F72B59">
        <w:rPr>
          <w:rFonts w:ascii="Century Gothic" w:hAnsi="Century Gothic"/>
        </w:rPr>
        <w:t xml:space="preserve"> - Kindia</w:t>
      </w:r>
      <w:r w:rsidR="00B17456" w:rsidRPr="00F72B59">
        <w:rPr>
          <w:rFonts w:ascii="Century Gothic" w:hAnsi="Century Gothic"/>
        </w:rPr>
        <w:t> ;</w:t>
      </w:r>
    </w:p>
    <w:p w14:paraId="2DCA570A" w14:textId="77777777" w:rsidR="00887F12" w:rsidRPr="00DD629E" w:rsidRDefault="00887F12" w:rsidP="00BA502A">
      <w:pPr>
        <w:pStyle w:val="Pardeliste"/>
        <w:spacing w:after="0"/>
        <w:ind w:firstLine="0"/>
        <w:rPr>
          <w:rFonts w:ascii="Century Gothic" w:hAnsi="Century Gothic"/>
          <w:highlight w:val="yellow"/>
        </w:rPr>
      </w:pPr>
    </w:p>
    <w:p w14:paraId="3609532C" w14:textId="7EACF5BE" w:rsidR="001968A4" w:rsidRPr="00F72B59" w:rsidRDefault="00F54BB9" w:rsidP="00BA502A">
      <w:pPr>
        <w:pStyle w:val="Pardeliste"/>
        <w:spacing w:after="0"/>
        <w:ind w:left="0" w:firstLine="0"/>
        <w:rPr>
          <w:rFonts w:ascii="Century Gothic" w:eastAsiaTheme="minorEastAsia" w:hAnsi="Century Gothic" w:cstheme="minorBidi"/>
          <w:bCs/>
          <w:iCs/>
          <w:sz w:val="22"/>
          <w:szCs w:val="22"/>
          <w:lang w:eastAsia="en-US"/>
        </w:rPr>
      </w:pPr>
      <w:r w:rsidRPr="00F72B59">
        <w:rPr>
          <w:rFonts w:ascii="Century Gothic" w:eastAsiaTheme="minorEastAsia" w:hAnsi="Century Gothic" w:cstheme="minorBidi"/>
          <w:bCs/>
          <w:iCs/>
          <w:sz w:val="22"/>
          <w:szCs w:val="22"/>
          <w:lang w:eastAsia="en-US"/>
        </w:rPr>
        <w:t>La réalisation des travaux est prévue via un Appel d’Offre International (AOI)</w:t>
      </w:r>
      <w:r w:rsidR="00A861CE" w:rsidRPr="00F72B59">
        <w:rPr>
          <w:rFonts w:ascii="Century Gothic" w:eastAsiaTheme="minorEastAsia" w:hAnsi="Century Gothic" w:cstheme="minorBidi"/>
          <w:bCs/>
          <w:iCs/>
          <w:sz w:val="22"/>
          <w:szCs w:val="22"/>
          <w:lang w:eastAsia="en-US"/>
        </w:rPr>
        <w:t>, objet du présent avis.</w:t>
      </w:r>
    </w:p>
    <w:p w14:paraId="2C6E66C6" w14:textId="77777777" w:rsidR="00F91830" w:rsidRPr="00DD629E" w:rsidRDefault="00F91830" w:rsidP="00BA502A">
      <w:pPr>
        <w:pStyle w:val="Pardeliste"/>
        <w:spacing w:after="0"/>
        <w:ind w:left="0" w:firstLine="0"/>
        <w:rPr>
          <w:rFonts w:ascii="Century Gothic" w:eastAsiaTheme="minorEastAsia" w:hAnsi="Century Gothic" w:cstheme="minorBidi"/>
          <w:bCs/>
          <w:iCs/>
          <w:sz w:val="22"/>
          <w:szCs w:val="22"/>
          <w:highlight w:val="yellow"/>
          <w:lang w:eastAsia="en-US"/>
        </w:rPr>
      </w:pPr>
    </w:p>
    <w:p w14:paraId="0A4C494F" w14:textId="0FA2EDB1" w:rsidR="00296829" w:rsidRPr="00F72B59" w:rsidRDefault="00887F12" w:rsidP="00BA502A">
      <w:pPr>
        <w:pStyle w:val="Pardeliste"/>
        <w:spacing w:after="0"/>
        <w:ind w:left="0" w:firstLine="0"/>
        <w:rPr>
          <w:rFonts w:ascii="Century Gothic" w:hAnsi="Century Gothic"/>
          <w:b/>
          <w:iCs/>
        </w:rPr>
      </w:pPr>
      <w:r w:rsidRPr="00F72B59">
        <w:rPr>
          <w:rFonts w:ascii="Century Gothic" w:eastAsiaTheme="minorEastAsia" w:hAnsi="Century Gothic" w:cstheme="minorBidi"/>
          <w:iCs/>
          <w:sz w:val="22"/>
          <w:szCs w:val="22"/>
          <w:lang w:eastAsia="en-US"/>
        </w:rPr>
        <w:t xml:space="preserve"> </w:t>
      </w:r>
      <w:r w:rsidR="00760E60" w:rsidRPr="00F72B59">
        <w:rPr>
          <w:rFonts w:ascii="Century Gothic" w:hAnsi="Century Gothic"/>
          <w:b/>
          <w:iCs/>
        </w:rPr>
        <w:t xml:space="preserve">          3.3 </w:t>
      </w:r>
      <w:r w:rsidR="00296829" w:rsidRPr="00F72B59">
        <w:rPr>
          <w:rFonts w:ascii="Century Gothic" w:hAnsi="Century Gothic"/>
          <w:b/>
          <w:iCs/>
        </w:rPr>
        <w:t>RESULTATS ATTENDUS</w:t>
      </w:r>
      <w:r w:rsidR="00760E60" w:rsidRPr="00F72B59">
        <w:rPr>
          <w:rFonts w:ascii="Century Gothic" w:hAnsi="Century Gothic"/>
          <w:b/>
          <w:iCs/>
        </w:rPr>
        <w:t xml:space="preserve"> DU PROJET</w:t>
      </w:r>
    </w:p>
    <w:p w14:paraId="02C333B0" w14:textId="77777777" w:rsidR="00BA502A" w:rsidRPr="00F72B59" w:rsidRDefault="00296829" w:rsidP="00BA502A">
      <w:pPr>
        <w:spacing w:after="0" w:line="240" w:lineRule="auto"/>
        <w:rPr>
          <w:rFonts w:ascii="Century Gothic" w:hAnsi="Century Gothic" w:cs="Times New Roman"/>
          <w:bCs/>
          <w:iCs/>
        </w:rPr>
      </w:pPr>
      <w:r w:rsidRPr="00F72B59">
        <w:rPr>
          <w:rFonts w:ascii="Century Gothic" w:hAnsi="Century Gothic" w:cs="Times New Roman"/>
          <w:bCs/>
          <w:iCs/>
        </w:rPr>
        <w:t xml:space="preserve"> </w:t>
      </w:r>
    </w:p>
    <w:p w14:paraId="59AA3A8B" w14:textId="15A294F2" w:rsidR="00AA1958" w:rsidRPr="00F72B59" w:rsidRDefault="00A715C2" w:rsidP="00BA502A">
      <w:pPr>
        <w:spacing w:after="0" w:line="240" w:lineRule="auto"/>
        <w:rPr>
          <w:rFonts w:ascii="Century Gothic" w:hAnsi="Century Gothic" w:cs="Times New Roman"/>
          <w:bCs/>
          <w:iCs/>
        </w:rPr>
      </w:pPr>
      <w:r w:rsidRPr="00F72B59">
        <w:rPr>
          <w:rFonts w:ascii="Century Gothic" w:hAnsi="Century Gothic" w:cs="Times New Roman"/>
          <w:bCs/>
          <w:iCs/>
        </w:rPr>
        <w:t>Les résultats attendus </w:t>
      </w:r>
      <w:r w:rsidR="00296829" w:rsidRPr="00F72B59">
        <w:rPr>
          <w:rFonts w:ascii="Century Gothic" w:hAnsi="Century Gothic" w:cs="Times New Roman"/>
          <w:bCs/>
          <w:iCs/>
        </w:rPr>
        <w:t>sont les suivants :</w:t>
      </w:r>
    </w:p>
    <w:p w14:paraId="1938CFA0" w14:textId="77777777" w:rsidR="00BA502A" w:rsidRPr="00DD629E" w:rsidRDefault="00BA502A" w:rsidP="00BA502A">
      <w:pPr>
        <w:spacing w:after="0" w:line="240" w:lineRule="auto"/>
        <w:rPr>
          <w:rFonts w:ascii="Century Gothic" w:hAnsi="Century Gothic" w:cs="Times New Roman"/>
          <w:bCs/>
          <w:iCs/>
          <w:highlight w:val="yellow"/>
        </w:rPr>
      </w:pPr>
    </w:p>
    <w:p w14:paraId="1D628D23" w14:textId="1763581D" w:rsidR="00AA1958" w:rsidRDefault="00AA1958" w:rsidP="00AA1958">
      <w:pPr>
        <w:pStyle w:val="Pardeliste"/>
        <w:numPr>
          <w:ilvl w:val="0"/>
          <w:numId w:val="17"/>
        </w:numPr>
        <w:rPr>
          <w:rFonts w:ascii="Century Gothic" w:hAnsi="Century Gothic"/>
          <w:b/>
          <w:bCs/>
          <w:iCs/>
        </w:rPr>
      </w:pPr>
      <w:r w:rsidRPr="00F72B59">
        <w:rPr>
          <w:rFonts w:ascii="Century Gothic" w:hAnsi="Century Gothic"/>
          <w:b/>
          <w:bCs/>
          <w:iCs/>
        </w:rPr>
        <w:lastRenderedPageBreak/>
        <w:t xml:space="preserve"> Réhabilitation</w:t>
      </w:r>
      <w:r w:rsidR="00A861CE" w:rsidRPr="00F72B59">
        <w:rPr>
          <w:rFonts w:ascii="Century Gothic" w:hAnsi="Century Gothic"/>
          <w:b/>
          <w:bCs/>
          <w:iCs/>
        </w:rPr>
        <w:t xml:space="preserve">, </w:t>
      </w:r>
      <w:r w:rsidR="00EF086E" w:rsidRPr="00F72B59">
        <w:rPr>
          <w:rFonts w:ascii="Century Gothic" w:hAnsi="Century Gothic"/>
          <w:b/>
          <w:bCs/>
          <w:iCs/>
        </w:rPr>
        <w:t>renforcement et</w:t>
      </w:r>
      <w:r w:rsidRPr="00F72B59">
        <w:rPr>
          <w:rFonts w:ascii="Century Gothic" w:hAnsi="Century Gothic"/>
          <w:b/>
          <w:bCs/>
          <w:iCs/>
        </w:rPr>
        <w:t xml:space="preserve"> l’Extension des réseaux de distribution HTA et BT de la ville de </w:t>
      </w:r>
      <w:r w:rsidR="00F72B59" w:rsidRPr="00F72B59">
        <w:rPr>
          <w:rFonts w:ascii="Century Gothic" w:hAnsi="Century Gothic"/>
          <w:b/>
          <w:bCs/>
          <w:iCs/>
        </w:rPr>
        <w:t xml:space="preserve">Kindia et le renforcement de la ligne 15kV </w:t>
      </w:r>
      <w:proofErr w:type="spellStart"/>
      <w:r w:rsidR="00F72B59" w:rsidRPr="00F72B59">
        <w:rPr>
          <w:rFonts w:ascii="Century Gothic" w:hAnsi="Century Gothic"/>
          <w:b/>
          <w:bCs/>
          <w:iCs/>
        </w:rPr>
        <w:t>Donkéa</w:t>
      </w:r>
      <w:proofErr w:type="spellEnd"/>
      <w:r w:rsidR="00F72B59" w:rsidRPr="00F72B59">
        <w:rPr>
          <w:rFonts w:ascii="Century Gothic" w:hAnsi="Century Gothic"/>
          <w:b/>
          <w:bCs/>
          <w:iCs/>
        </w:rPr>
        <w:t xml:space="preserve"> - Kindia</w:t>
      </w:r>
      <w:r w:rsidRPr="00F72B59">
        <w:rPr>
          <w:rFonts w:ascii="Century Gothic" w:hAnsi="Century Gothic"/>
          <w:b/>
          <w:bCs/>
          <w:iCs/>
        </w:rPr>
        <w:t xml:space="preserve"> </w:t>
      </w:r>
      <w:r w:rsidR="00BA502A" w:rsidRPr="009D7D04">
        <w:rPr>
          <w:rFonts w:ascii="Century Gothic" w:hAnsi="Century Gothic"/>
          <w:b/>
          <w:bCs/>
          <w:iCs/>
        </w:rPr>
        <w:t>notamment</w:t>
      </w:r>
      <w:r w:rsidRPr="00F72B59">
        <w:rPr>
          <w:rFonts w:ascii="Century Gothic" w:hAnsi="Century Gothic"/>
          <w:b/>
          <w:bCs/>
          <w:iCs/>
        </w:rPr>
        <w:t xml:space="preserve"> : </w:t>
      </w:r>
    </w:p>
    <w:p w14:paraId="2BFE7264" w14:textId="77777777" w:rsidR="00F72B59" w:rsidRPr="000A1C17" w:rsidRDefault="00F72B59" w:rsidP="00F72B59">
      <w:pPr>
        <w:numPr>
          <w:ilvl w:val="0"/>
          <w:numId w:val="21"/>
        </w:numPr>
        <w:spacing w:before="240" w:after="0" w:line="240" w:lineRule="auto"/>
        <w:rPr>
          <w:rFonts w:ascii="Century Gothic" w:hAnsi="Century Gothic" w:cs="Arial"/>
        </w:rPr>
      </w:pPr>
      <w:r w:rsidRPr="000A1C17">
        <w:rPr>
          <w:rFonts w:ascii="Century Gothic" w:hAnsi="Century Gothic" w:cs="Arial"/>
        </w:rPr>
        <w:t xml:space="preserve">La construction de </w:t>
      </w:r>
      <w:r w:rsidRPr="000A1C17">
        <w:rPr>
          <w:rFonts w:ascii="Century Gothic" w:hAnsi="Century Gothic" w:cs="Arial"/>
          <w:b/>
        </w:rPr>
        <w:t>64,89 km</w:t>
      </w:r>
      <w:r w:rsidRPr="000A1C17">
        <w:rPr>
          <w:rFonts w:ascii="Century Gothic" w:hAnsi="Century Gothic" w:cs="Arial"/>
        </w:rPr>
        <w:t xml:space="preserve"> de lignes magistrales aériennes 20 kV en Almelec </w:t>
      </w:r>
      <w:r w:rsidRPr="000A1C17">
        <w:rPr>
          <w:rFonts w:ascii="Century Gothic" w:hAnsi="Century Gothic" w:cs="Arial"/>
          <w:b/>
        </w:rPr>
        <w:t>148 mm²</w:t>
      </w:r>
      <w:r w:rsidRPr="000A1C17">
        <w:rPr>
          <w:rFonts w:ascii="Century Gothic" w:hAnsi="Century Gothic" w:cs="Arial"/>
        </w:rPr>
        <w:t xml:space="preserve">, issues à la fois du poste source de Kindia et de la centrale hydroélectrique de </w:t>
      </w:r>
      <w:proofErr w:type="spellStart"/>
      <w:r w:rsidRPr="000A1C17">
        <w:rPr>
          <w:rFonts w:ascii="Century Gothic" w:hAnsi="Century Gothic" w:cs="Arial"/>
        </w:rPr>
        <w:t>Donkéa</w:t>
      </w:r>
      <w:proofErr w:type="spellEnd"/>
      <w:r w:rsidRPr="000A1C17">
        <w:rPr>
          <w:rFonts w:ascii="Century Gothic" w:hAnsi="Century Gothic" w:cs="Arial"/>
        </w:rPr>
        <w:t xml:space="preserve"> ;</w:t>
      </w:r>
    </w:p>
    <w:p w14:paraId="5B7739F2" w14:textId="77777777" w:rsidR="00F72B59" w:rsidRPr="000A1C17" w:rsidRDefault="00F72B59" w:rsidP="00F72B59">
      <w:pPr>
        <w:numPr>
          <w:ilvl w:val="0"/>
          <w:numId w:val="21"/>
        </w:numPr>
        <w:spacing w:before="240" w:after="0" w:line="240" w:lineRule="auto"/>
        <w:rPr>
          <w:rFonts w:ascii="Century Gothic" w:hAnsi="Century Gothic" w:cs="Arial"/>
        </w:rPr>
      </w:pPr>
      <w:r w:rsidRPr="000A1C17">
        <w:rPr>
          <w:rFonts w:ascii="Century Gothic" w:hAnsi="Century Gothic" w:cs="Arial"/>
        </w:rPr>
        <w:t xml:space="preserve">La construction de </w:t>
      </w:r>
      <w:r w:rsidRPr="000A1C17">
        <w:rPr>
          <w:rFonts w:ascii="Century Gothic" w:hAnsi="Century Gothic" w:cs="Arial"/>
          <w:b/>
        </w:rPr>
        <w:t>117,9 km</w:t>
      </w:r>
      <w:r w:rsidRPr="000A1C17">
        <w:rPr>
          <w:rFonts w:ascii="Century Gothic" w:hAnsi="Century Gothic" w:cs="Arial"/>
        </w:rPr>
        <w:t xml:space="preserve"> de lignes secondaires HTA 20 kV en Almelec </w:t>
      </w:r>
      <w:r w:rsidRPr="000A1C17">
        <w:rPr>
          <w:rFonts w:ascii="Century Gothic" w:hAnsi="Century Gothic" w:cs="Arial"/>
          <w:b/>
        </w:rPr>
        <w:t>54,6 mm</w:t>
      </w:r>
      <w:proofErr w:type="gramStart"/>
      <w:r w:rsidRPr="000A1C17">
        <w:rPr>
          <w:rFonts w:ascii="Century Gothic" w:hAnsi="Century Gothic" w:cs="Arial"/>
          <w:b/>
        </w:rPr>
        <w:t>²</w:t>
      </w:r>
      <w:r w:rsidRPr="000A1C17">
        <w:rPr>
          <w:rFonts w:ascii="Century Gothic" w:hAnsi="Century Gothic" w:cs="Arial"/>
        </w:rPr>
        <w:t>;</w:t>
      </w:r>
      <w:proofErr w:type="gramEnd"/>
    </w:p>
    <w:p w14:paraId="07F6EE08" w14:textId="77777777" w:rsidR="00F72B59" w:rsidRPr="000A1C17" w:rsidRDefault="00F72B59" w:rsidP="00F72B59">
      <w:pPr>
        <w:numPr>
          <w:ilvl w:val="0"/>
          <w:numId w:val="21"/>
        </w:numPr>
        <w:spacing w:before="240" w:after="0" w:line="240" w:lineRule="auto"/>
        <w:rPr>
          <w:rFonts w:ascii="Century Gothic" w:hAnsi="Century Gothic" w:cs="Arial"/>
        </w:rPr>
      </w:pPr>
      <w:r w:rsidRPr="000A1C17">
        <w:rPr>
          <w:rFonts w:ascii="Century Gothic" w:hAnsi="Century Gothic" w:cs="Arial"/>
        </w:rPr>
        <w:t xml:space="preserve">La construction de </w:t>
      </w:r>
      <w:r w:rsidRPr="000A1C17">
        <w:rPr>
          <w:rFonts w:ascii="Century Gothic" w:hAnsi="Century Gothic" w:cs="Arial"/>
          <w:b/>
        </w:rPr>
        <w:t>904 km</w:t>
      </w:r>
      <w:r w:rsidRPr="000A1C17">
        <w:rPr>
          <w:rFonts w:ascii="Century Gothic" w:hAnsi="Century Gothic" w:cs="Arial"/>
        </w:rPr>
        <w:t xml:space="preserve"> de lignes BT, incluant </w:t>
      </w:r>
      <w:r w:rsidRPr="000A1C17">
        <w:rPr>
          <w:rFonts w:ascii="Century Gothic" w:hAnsi="Century Gothic" w:cs="Arial"/>
          <w:b/>
        </w:rPr>
        <w:t>11 301</w:t>
      </w:r>
      <w:r w:rsidRPr="000A1C17">
        <w:rPr>
          <w:rFonts w:ascii="Century Gothic" w:hAnsi="Century Gothic" w:cs="Arial"/>
        </w:rPr>
        <w:t>foyers d’éclairages publics ;</w:t>
      </w:r>
    </w:p>
    <w:p w14:paraId="271658B6" w14:textId="77777777" w:rsidR="00F72B59" w:rsidRPr="000A1C17" w:rsidRDefault="00F72B59" w:rsidP="00F72B59">
      <w:pPr>
        <w:numPr>
          <w:ilvl w:val="0"/>
          <w:numId w:val="21"/>
        </w:numPr>
        <w:spacing w:before="240" w:after="0" w:line="240" w:lineRule="auto"/>
        <w:rPr>
          <w:rFonts w:ascii="Century Gothic" w:hAnsi="Century Gothic" w:cs="Arial"/>
        </w:rPr>
      </w:pPr>
      <w:r w:rsidRPr="000A1C17">
        <w:rPr>
          <w:rFonts w:ascii="Century Gothic" w:hAnsi="Century Gothic" w:cs="Arial"/>
        </w:rPr>
        <w:t xml:space="preserve">La construction de </w:t>
      </w:r>
      <w:r w:rsidRPr="000A1C17">
        <w:rPr>
          <w:rFonts w:ascii="Century Gothic" w:hAnsi="Century Gothic" w:cs="Arial"/>
          <w:b/>
        </w:rPr>
        <w:t>178</w:t>
      </w:r>
      <w:r w:rsidRPr="000A1C17">
        <w:rPr>
          <w:rFonts w:ascii="Century Gothic" w:hAnsi="Century Gothic" w:cs="Arial"/>
        </w:rPr>
        <w:t xml:space="preserve"> postes de transformation HTA/BT de type </w:t>
      </w:r>
      <w:r w:rsidRPr="000A1C17">
        <w:rPr>
          <w:rFonts w:ascii="Century Gothic" w:hAnsi="Century Gothic" w:cs="Arial"/>
          <w:b/>
        </w:rPr>
        <w:t>H61</w:t>
      </w:r>
      <w:r w:rsidRPr="000A1C17">
        <w:rPr>
          <w:rFonts w:ascii="Century Gothic" w:hAnsi="Century Gothic" w:cs="Arial"/>
        </w:rPr>
        <w:t xml:space="preserve"> et </w:t>
      </w:r>
      <w:r w:rsidRPr="000A1C17">
        <w:rPr>
          <w:rFonts w:ascii="Century Gothic" w:hAnsi="Century Gothic" w:cs="Arial"/>
          <w:b/>
        </w:rPr>
        <w:t>136</w:t>
      </w:r>
      <w:r w:rsidRPr="000A1C17">
        <w:rPr>
          <w:rFonts w:ascii="Century Gothic" w:hAnsi="Century Gothic" w:cs="Arial"/>
        </w:rPr>
        <w:t xml:space="preserve"> postes de transformation de type </w:t>
      </w:r>
      <w:r w:rsidRPr="000A1C17">
        <w:rPr>
          <w:rFonts w:ascii="Century Gothic" w:hAnsi="Century Gothic" w:cs="Arial"/>
          <w:b/>
        </w:rPr>
        <w:t>H59</w:t>
      </w:r>
      <w:r w:rsidRPr="000A1C17">
        <w:rPr>
          <w:rFonts w:ascii="Century Gothic" w:hAnsi="Century Gothic" w:cs="Arial"/>
        </w:rPr>
        <w:t xml:space="preserve"> ;</w:t>
      </w:r>
    </w:p>
    <w:p w14:paraId="21BFCF5B" w14:textId="16272EA2" w:rsidR="00F72B59" w:rsidRPr="000A1C17" w:rsidRDefault="00F72B59" w:rsidP="00F72B59">
      <w:pPr>
        <w:numPr>
          <w:ilvl w:val="0"/>
          <w:numId w:val="21"/>
        </w:numPr>
        <w:spacing w:before="240" w:after="0" w:line="240" w:lineRule="auto"/>
        <w:rPr>
          <w:rFonts w:ascii="Century Gothic" w:hAnsi="Century Gothic" w:cs="Arial"/>
        </w:rPr>
      </w:pPr>
      <w:r w:rsidRPr="000A1C17">
        <w:rPr>
          <w:rFonts w:ascii="Century Gothic" w:hAnsi="Century Gothic" w:cs="Arial"/>
        </w:rPr>
        <w:t xml:space="preserve">La réalisation de </w:t>
      </w:r>
      <w:r w:rsidRPr="000A1C17">
        <w:rPr>
          <w:rFonts w:ascii="Century Gothic" w:hAnsi="Century Gothic" w:cs="Arial"/>
          <w:b/>
        </w:rPr>
        <w:t>50</w:t>
      </w:r>
      <w:r w:rsidRPr="000A1C17">
        <w:rPr>
          <w:rFonts w:ascii="Arial" w:hAnsi="Arial" w:cs="Arial"/>
          <w:b/>
        </w:rPr>
        <w:t> </w:t>
      </w:r>
      <w:r w:rsidRPr="000A1C17">
        <w:rPr>
          <w:rFonts w:ascii="Century Gothic" w:hAnsi="Century Gothic" w:cs="Arial"/>
          <w:b/>
        </w:rPr>
        <w:t>569</w:t>
      </w:r>
      <w:r w:rsidRPr="000A1C17">
        <w:rPr>
          <w:rFonts w:ascii="Century Gothic" w:hAnsi="Century Gothic" w:cs="Arial"/>
        </w:rPr>
        <w:t xml:space="preserve"> branchements, incluant la fourniture et la pose des équipements de comptage, dont </w:t>
      </w:r>
      <w:r w:rsidRPr="000A1C17">
        <w:rPr>
          <w:rFonts w:ascii="Century Gothic" w:hAnsi="Century Gothic" w:cs="Arial"/>
          <w:b/>
        </w:rPr>
        <w:t>16</w:t>
      </w:r>
      <w:r w:rsidRPr="000A1C17">
        <w:rPr>
          <w:rFonts w:ascii="Arial" w:hAnsi="Arial" w:cs="Arial"/>
          <w:b/>
        </w:rPr>
        <w:t> </w:t>
      </w:r>
      <w:r w:rsidRPr="000A1C17">
        <w:rPr>
          <w:rFonts w:ascii="Century Gothic" w:hAnsi="Century Gothic" w:cs="Arial"/>
          <w:b/>
        </w:rPr>
        <w:t>837</w:t>
      </w:r>
      <w:r w:rsidRPr="000A1C17">
        <w:rPr>
          <w:rFonts w:ascii="Century Gothic" w:hAnsi="Century Gothic" w:cs="Arial"/>
        </w:rPr>
        <w:t xml:space="preserve"> nouveaux branchements et </w:t>
      </w:r>
      <w:r w:rsidRPr="000A1C17">
        <w:rPr>
          <w:rFonts w:ascii="Century Gothic" w:hAnsi="Century Gothic" w:cs="Arial"/>
          <w:b/>
        </w:rPr>
        <w:t>33</w:t>
      </w:r>
      <w:r w:rsidRPr="000A1C17">
        <w:rPr>
          <w:rFonts w:ascii="Arial" w:hAnsi="Arial" w:cs="Arial"/>
          <w:b/>
        </w:rPr>
        <w:t> </w:t>
      </w:r>
      <w:r w:rsidRPr="000A1C17">
        <w:rPr>
          <w:rFonts w:ascii="Century Gothic" w:hAnsi="Century Gothic" w:cs="Arial"/>
          <w:b/>
        </w:rPr>
        <w:t>732</w:t>
      </w:r>
      <w:r w:rsidRPr="000A1C17">
        <w:rPr>
          <w:rFonts w:ascii="Century Gothic" w:hAnsi="Century Gothic" w:cs="Arial"/>
        </w:rPr>
        <w:t xml:space="preserve"> branchements à régulariser.</w:t>
      </w:r>
    </w:p>
    <w:p w14:paraId="6B658407" w14:textId="39E8826A" w:rsidR="00DE6EB5" w:rsidRPr="000A1C17" w:rsidRDefault="00DE6EB5" w:rsidP="00DE6EB5">
      <w:pPr>
        <w:tabs>
          <w:tab w:val="left" w:pos="-720"/>
          <w:tab w:val="left" w:pos="0"/>
        </w:tabs>
        <w:spacing w:before="240" w:after="120"/>
        <w:rPr>
          <w:rFonts w:ascii="Century Gothic" w:hAnsi="Century Gothic"/>
          <w:spacing w:val="-3"/>
          <w:szCs w:val="24"/>
        </w:rPr>
      </w:pPr>
      <w:r w:rsidRPr="000A1C17">
        <w:rPr>
          <w:rFonts w:ascii="Century Gothic" w:hAnsi="Century Gothic"/>
          <w:szCs w:val="24"/>
        </w:rPr>
        <w:t xml:space="preserve">Les détails du marché sont donnés dans le tableau ci-après : </w:t>
      </w:r>
    </w:p>
    <w:tbl>
      <w:tblPr>
        <w:tblW w:w="5084" w:type="pct"/>
        <w:tblInd w:w="-5" w:type="dxa"/>
        <w:tblLayout w:type="fixed"/>
        <w:tblCellMar>
          <w:left w:w="70" w:type="dxa"/>
          <w:right w:w="70" w:type="dxa"/>
        </w:tblCellMar>
        <w:tblLook w:val="04A0" w:firstRow="1" w:lastRow="0" w:firstColumn="1" w:lastColumn="0" w:noHBand="0" w:noVBand="1"/>
      </w:tblPr>
      <w:tblGrid>
        <w:gridCol w:w="1194"/>
        <w:gridCol w:w="1655"/>
        <w:gridCol w:w="2753"/>
        <w:gridCol w:w="920"/>
        <w:gridCol w:w="2692"/>
      </w:tblGrid>
      <w:tr w:rsidR="00DE6EB5" w:rsidRPr="00DD629E" w14:paraId="3D517C6F" w14:textId="77777777" w:rsidTr="000A1484">
        <w:trPr>
          <w:trHeight w:val="1296"/>
          <w:tblHeader/>
        </w:trPr>
        <w:tc>
          <w:tcPr>
            <w:tcW w:w="648"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B9DF530" w14:textId="77777777" w:rsidR="00DE6EB5" w:rsidRPr="000A1C17" w:rsidRDefault="00DE6EB5" w:rsidP="004C0987">
            <w:pPr>
              <w:jc w:val="center"/>
              <w:rPr>
                <w:rFonts w:ascii="Century Gothic" w:eastAsia="Calibri" w:hAnsi="Century Gothic" w:cs="Times New Roman"/>
                <w:b/>
                <w:bCs/>
                <w:sz w:val="20"/>
                <w:szCs w:val="20"/>
                <w:lang w:val="en-US"/>
              </w:rPr>
            </w:pPr>
            <w:r w:rsidRPr="000A1C17">
              <w:rPr>
                <w:rFonts w:ascii="Century Gothic" w:eastAsia="Calibri" w:hAnsi="Century Gothic" w:cs="Times New Roman"/>
                <w:b/>
                <w:bCs/>
                <w:sz w:val="20"/>
                <w:szCs w:val="20"/>
                <w:lang w:val="en-US"/>
              </w:rPr>
              <w:t xml:space="preserve">Lots travaux/Durée </w:t>
            </w:r>
          </w:p>
        </w:tc>
        <w:tc>
          <w:tcPr>
            <w:tcW w:w="898"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65D40FB9" w14:textId="77777777" w:rsidR="00DE6EB5" w:rsidRPr="000A1C17" w:rsidRDefault="00DE6EB5" w:rsidP="004C0987">
            <w:pPr>
              <w:jc w:val="center"/>
              <w:rPr>
                <w:rFonts w:ascii="Century Gothic" w:eastAsia="Calibri" w:hAnsi="Century Gothic" w:cs="Times New Roman"/>
                <w:b/>
                <w:bCs/>
                <w:sz w:val="20"/>
                <w:szCs w:val="20"/>
                <w:lang w:val="en-US"/>
              </w:rPr>
            </w:pPr>
            <w:r w:rsidRPr="000A1C17">
              <w:rPr>
                <w:rFonts w:ascii="Century Gothic" w:eastAsia="Calibri" w:hAnsi="Century Gothic" w:cs="Times New Roman"/>
                <w:b/>
                <w:bCs/>
                <w:sz w:val="20"/>
                <w:szCs w:val="20"/>
                <w:lang w:val="en-US"/>
              </w:rPr>
              <w:t>Designation</w:t>
            </w:r>
          </w:p>
        </w:tc>
        <w:tc>
          <w:tcPr>
            <w:tcW w:w="1494"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36C0B85" w14:textId="77777777" w:rsidR="00DE6EB5" w:rsidRPr="000A1C17" w:rsidRDefault="00DE6EB5" w:rsidP="004C0987">
            <w:pPr>
              <w:jc w:val="center"/>
              <w:rPr>
                <w:rFonts w:ascii="Century Gothic" w:eastAsia="Calibri" w:hAnsi="Century Gothic" w:cs="Times New Roman"/>
                <w:b/>
                <w:bCs/>
                <w:sz w:val="20"/>
                <w:szCs w:val="20"/>
                <w:lang w:val="en-US"/>
              </w:rPr>
            </w:pPr>
            <w:proofErr w:type="spellStart"/>
            <w:r w:rsidRPr="000A1C17">
              <w:rPr>
                <w:rFonts w:ascii="Century Gothic" w:eastAsia="Calibri" w:hAnsi="Century Gothic" w:cs="Times New Roman"/>
                <w:b/>
                <w:bCs/>
                <w:sz w:val="20"/>
                <w:szCs w:val="20"/>
                <w:lang w:val="en-US"/>
              </w:rPr>
              <w:t>Descriptif</w:t>
            </w:r>
            <w:proofErr w:type="spellEnd"/>
          </w:p>
        </w:tc>
        <w:tc>
          <w:tcPr>
            <w:tcW w:w="499" w:type="pct"/>
            <w:tcBorders>
              <w:top w:val="single" w:sz="4" w:space="0" w:color="auto"/>
              <w:left w:val="single" w:sz="4" w:space="0" w:color="auto"/>
              <w:bottom w:val="single" w:sz="4" w:space="0" w:color="auto"/>
              <w:right w:val="single" w:sz="4" w:space="0" w:color="auto"/>
            </w:tcBorders>
            <w:shd w:val="clear" w:color="000000" w:fill="0070C0"/>
          </w:tcPr>
          <w:p w14:paraId="3302A297" w14:textId="77777777" w:rsidR="00DE6EB5" w:rsidRPr="000A1C17" w:rsidRDefault="00DE6EB5" w:rsidP="004C0987">
            <w:pPr>
              <w:jc w:val="center"/>
              <w:rPr>
                <w:rFonts w:ascii="Century Gothic" w:eastAsia="Calibri" w:hAnsi="Century Gothic" w:cs="Times New Roman"/>
                <w:b/>
                <w:bCs/>
                <w:sz w:val="20"/>
                <w:szCs w:val="20"/>
              </w:rPr>
            </w:pPr>
          </w:p>
          <w:p w14:paraId="07245A51" w14:textId="77777777" w:rsidR="00DE6EB5" w:rsidRPr="000A1C17" w:rsidRDefault="00DE6EB5" w:rsidP="004C0987">
            <w:pPr>
              <w:jc w:val="center"/>
              <w:rPr>
                <w:rFonts w:ascii="Century Gothic" w:eastAsia="Calibri" w:hAnsi="Century Gothic" w:cs="Times New Roman"/>
                <w:b/>
                <w:bCs/>
                <w:sz w:val="20"/>
                <w:szCs w:val="20"/>
              </w:rPr>
            </w:pPr>
            <w:r w:rsidRPr="000A1C17">
              <w:rPr>
                <w:rFonts w:ascii="Century Gothic" w:eastAsia="Calibri" w:hAnsi="Century Gothic" w:cs="Times New Roman"/>
                <w:b/>
                <w:bCs/>
                <w:sz w:val="20"/>
                <w:szCs w:val="20"/>
              </w:rPr>
              <w:t>Bailleur</w:t>
            </w:r>
          </w:p>
        </w:tc>
        <w:tc>
          <w:tcPr>
            <w:tcW w:w="1461" w:type="pct"/>
            <w:tcBorders>
              <w:top w:val="single" w:sz="4" w:space="0" w:color="auto"/>
              <w:left w:val="single" w:sz="4" w:space="0" w:color="auto"/>
              <w:bottom w:val="single" w:sz="4" w:space="0" w:color="auto"/>
              <w:right w:val="single" w:sz="4" w:space="0" w:color="auto"/>
            </w:tcBorders>
            <w:shd w:val="clear" w:color="000000" w:fill="0070C0"/>
            <w:vAlign w:val="center"/>
          </w:tcPr>
          <w:p w14:paraId="18A998A4" w14:textId="77777777" w:rsidR="00DE6EB5" w:rsidRPr="000A1C17" w:rsidRDefault="00DE6EB5" w:rsidP="004C0987">
            <w:pPr>
              <w:jc w:val="center"/>
              <w:rPr>
                <w:rFonts w:ascii="Century Gothic" w:eastAsia="Calibri" w:hAnsi="Century Gothic" w:cs="Times New Roman"/>
                <w:b/>
                <w:bCs/>
                <w:sz w:val="20"/>
                <w:szCs w:val="20"/>
              </w:rPr>
            </w:pPr>
            <w:r w:rsidRPr="000A1C17">
              <w:rPr>
                <w:rFonts w:ascii="Century Gothic" w:hAnsi="Century Gothic"/>
                <w:b/>
                <w:bCs/>
                <w:color w:val="000000"/>
              </w:rPr>
              <w:t>Méthode de sélection/ Approche de sélection/ Document d’Appel d’offres</w:t>
            </w:r>
          </w:p>
        </w:tc>
      </w:tr>
      <w:tr w:rsidR="00DE6EB5" w:rsidRPr="00A028ED" w14:paraId="48D3D7BB" w14:textId="77777777" w:rsidTr="000A1484">
        <w:trPr>
          <w:trHeight w:val="2304"/>
        </w:trPr>
        <w:tc>
          <w:tcPr>
            <w:tcW w:w="648" w:type="pct"/>
            <w:tcBorders>
              <w:top w:val="single" w:sz="4" w:space="0" w:color="auto"/>
              <w:left w:val="single" w:sz="4" w:space="0" w:color="auto"/>
              <w:bottom w:val="single" w:sz="4" w:space="0" w:color="auto"/>
              <w:right w:val="single" w:sz="4" w:space="0" w:color="auto"/>
            </w:tcBorders>
            <w:shd w:val="clear" w:color="000000" w:fill="FFFFFF"/>
            <w:noWrap/>
            <w:hideMark/>
          </w:tcPr>
          <w:p w14:paraId="7A1F7248" w14:textId="6EF33489" w:rsidR="00DE6EB5" w:rsidRPr="000A1C17" w:rsidRDefault="00DE6EB5" w:rsidP="004C0987">
            <w:pPr>
              <w:rPr>
                <w:rFonts w:ascii="Century Gothic" w:eastAsia="Calibri" w:hAnsi="Century Gothic" w:cs="Times New Roman"/>
                <w:b/>
                <w:bCs/>
                <w:sz w:val="20"/>
                <w:szCs w:val="20"/>
                <w:lang w:val="en-US"/>
              </w:rPr>
            </w:pPr>
            <w:r w:rsidRPr="000A1C17">
              <w:rPr>
                <w:rFonts w:ascii="Century Gothic" w:eastAsia="Calibri" w:hAnsi="Century Gothic" w:cs="Times New Roman"/>
                <w:b/>
                <w:bCs/>
                <w:sz w:val="20"/>
                <w:szCs w:val="20"/>
                <w:lang w:val="en-US"/>
              </w:rPr>
              <w:t>LOT 1</w:t>
            </w:r>
            <w:r w:rsidR="00147BF9" w:rsidRPr="000A1C17">
              <w:rPr>
                <w:rFonts w:ascii="Century Gothic" w:eastAsia="Calibri" w:hAnsi="Century Gothic" w:cs="Times New Roman"/>
                <w:b/>
                <w:bCs/>
                <w:sz w:val="20"/>
                <w:szCs w:val="20"/>
                <w:lang w:val="en-US"/>
              </w:rPr>
              <w:t>Unique</w:t>
            </w:r>
          </w:p>
        </w:tc>
        <w:tc>
          <w:tcPr>
            <w:tcW w:w="898" w:type="pct"/>
            <w:tcBorders>
              <w:top w:val="single" w:sz="4" w:space="0" w:color="auto"/>
              <w:left w:val="single" w:sz="4" w:space="0" w:color="auto"/>
              <w:bottom w:val="single" w:sz="4" w:space="0" w:color="auto"/>
              <w:right w:val="single" w:sz="4" w:space="0" w:color="auto"/>
            </w:tcBorders>
            <w:shd w:val="clear" w:color="000000" w:fill="FFFFFF"/>
            <w:hideMark/>
          </w:tcPr>
          <w:p w14:paraId="23702AB2" w14:textId="48C21F47" w:rsidR="00DE6EB5" w:rsidRPr="000A1C17" w:rsidRDefault="007B0715" w:rsidP="004C0987">
            <w:pPr>
              <w:rPr>
                <w:rFonts w:ascii="Century Gothic" w:eastAsia="Calibri" w:hAnsi="Century Gothic" w:cs="Times New Roman"/>
                <w:b/>
                <w:bCs/>
                <w:sz w:val="20"/>
                <w:szCs w:val="20"/>
              </w:rPr>
            </w:pPr>
            <w:r w:rsidRPr="000A1C17">
              <w:rPr>
                <w:b/>
                <w:szCs w:val="24"/>
              </w:rPr>
              <w:t xml:space="preserve">Réhabilitation,  renforcement et extension des réseaux de distribution électriques HTA et BT du centre urbain de </w:t>
            </w:r>
            <w:r w:rsidR="000A1C17" w:rsidRPr="000A1C17">
              <w:rPr>
                <w:b/>
                <w:szCs w:val="24"/>
              </w:rPr>
              <w:t>Kindia</w:t>
            </w:r>
            <w:r w:rsidRPr="000A1C17">
              <w:rPr>
                <w:b/>
                <w:szCs w:val="24"/>
              </w:rPr>
              <w:t xml:space="preserve">, et </w:t>
            </w:r>
            <w:r w:rsidR="000A1C17" w:rsidRPr="000A1C17">
              <w:rPr>
                <w:b/>
                <w:szCs w:val="24"/>
              </w:rPr>
              <w:t xml:space="preserve">le renforcement de la ligne 15kV </w:t>
            </w:r>
            <w:proofErr w:type="spellStart"/>
            <w:r w:rsidR="000A1C17" w:rsidRPr="000A1C17">
              <w:rPr>
                <w:b/>
                <w:szCs w:val="24"/>
              </w:rPr>
              <w:t>Donkéa</w:t>
            </w:r>
            <w:proofErr w:type="spellEnd"/>
            <w:r w:rsidR="000A1C17" w:rsidRPr="000A1C17">
              <w:rPr>
                <w:b/>
                <w:szCs w:val="24"/>
              </w:rPr>
              <w:t xml:space="preserve"> - Kindia</w:t>
            </w:r>
            <w:r w:rsidRPr="000A1C17">
              <w:rPr>
                <w:b/>
                <w:szCs w:val="24"/>
              </w:rPr>
              <w:t>.</w:t>
            </w:r>
          </w:p>
        </w:tc>
        <w:tc>
          <w:tcPr>
            <w:tcW w:w="1494" w:type="pct"/>
            <w:tcBorders>
              <w:top w:val="single" w:sz="4" w:space="0" w:color="auto"/>
              <w:left w:val="single" w:sz="4" w:space="0" w:color="auto"/>
              <w:bottom w:val="single" w:sz="4" w:space="0" w:color="auto"/>
              <w:right w:val="single" w:sz="4" w:space="0" w:color="auto"/>
            </w:tcBorders>
            <w:shd w:val="clear" w:color="000000" w:fill="FFFFFF"/>
            <w:hideMark/>
          </w:tcPr>
          <w:p w14:paraId="2122AFEE" w14:textId="6ECACB5C" w:rsidR="00DE6EB5" w:rsidRPr="000A1C17" w:rsidRDefault="00512EEA" w:rsidP="000A1C17">
            <w:pPr>
              <w:rPr>
                <w:rFonts w:ascii="Century Gothic" w:eastAsia="Calibri" w:hAnsi="Century Gothic" w:cs="Times New Roman"/>
                <w:sz w:val="20"/>
                <w:szCs w:val="20"/>
              </w:rPr>
            </w:pPr>
            <w:r w:rsidRPr="000A1C17">
              <w:rPr>
                <w:rFonts w:ascii="Century Gothic" w:eastAsia="Calibri" w:hAnsi="Century Gothic" w:cs="Times New Roman"/>
                <w:sz w:val="20"/>
                <w:szCs w:val="20"/>
              </w:rPr>
              <w:t xml:space="preserve">La Réhabilitation et l’Extension des réseaux de distribution HTA et BT de la ville de </w:t>
            </w:r>
            <w:r w:rsidR="000A1C17" w:rsidRPr="000A1C17">
              <w:rPr>
                <w:rFonts w:ascii="Century Gothic" w:eastAsia="Calibri" w:hAnsi="Century Gothic" w:cs="Times New Roman"/>
                <w:sz w:val="20"/>
                <w:szCs w:val="20"/>
              </w:rPr>
              <w:t>Kindia</w:t>
            </w:r>
            <w:r w:rsidRPr="000A1C17">
              <w:rPr>
                <w:rFonts w:ascii="Century Gothic" w:eastAsia="Calibri" w:hAnsi="Century Gothic" w:cs="Times New Roman"/>
                <w:sz w:val="20"/>
                <w:szCs w:val="20"/>
              </w:rPr>
              <w:t xml:space="preserve"> et </w:t>
            </w:r>
            <w:r w:rsidR="000A1C17" w:rsidRPr="000A1C17">
              <w:rPr>
                <w:rFonts w:ascii="Century Gothic" w:eastAsia="Calibri" w:hAnsi="Century Gothic" w:cs="Times New Roman"/>
                <w:sz w:val="20"/>
                <w:szCs w:val="20"/>
              </w:rPr>
              <w:t xml:space="preserve">le renforcement de la ligne 15kV </w:t>
            </w:r>
            <w:proofErr w:type="spellStart"/>
            <w:r w:rsidR="000A1C17" w:rsidRPr="000A1C17">
              <w:rPr>
                <w:rFonts w:ascii="Century Gothic" w:eastAsia="Calibri" w:hAnsi="Century Gothic" w:cs="Times New Roman"/>
                <w:sz w:val="20"/>
                <w:szCs w:val="20"/>
              </w:rPr>
              <w:t>Donkéa</w:t>
            </w:r>
            <w:proofErr w:type="spellEnd"/>
            <w:r w:rsidR="000A1C17" w:rsidRPr="000A1C17">
              <w:rPr>
                <w:rFonts w:ascii="Century Gothic" w:eastAsia="Calibri" w:hAnsi="Century Gothic" w:cs="Times New Roman"/>
                <w:sz w:val="20"/>
                <w:szCs w:val="20"/>
              </w:rPr>
              <w:t xml:space="preserve"> – Kindia.</w:t>
            </w:r>
          </w:p>
        </w:tc>
        <w:tc>
          <w:tcPr>
            <w:tcW w:w="499" w:type="pct"/>
            <w:tcBorders>
              <w:top w:val="single" w:sz="4" w:space="0" w:color="auto"/>
              <w:left w:val="single" w:sz="4" w:space="0" w:color="auto"/>
              <w:bottom w:val="single" w:sz="4" w:space="0" w:color="auto"/>
              <w:right w:val="single" w:sz="4" w:space="0" w:color="auto"/>
            </w:tcBorders>
            <w:shd w:val="clear" w:color="000000" w:fill="FFFFFF"/>
          </w:tcPr>
          <w:p w14:paraId="4AC3F8F4" w14:textId="77777777" w:rsidR="00DE6EB5" w:rsidRPr="000A1C17" w:rsidRDefault="00DE6EB5" w:rsidP="004C0987">
            <w:pPr>
              <w:jc w:val="center"/>
              <w:rPr>
                <w:rFonts w:ascii="Century Gothic" w:eastAsia="Calibri" w:hAnsi="Century Gothic" w:cs="Times New Roman"/>
                <w:b/>
                <w:bCs/>
                <w:sz w:val="20"/>
                <w:szCs w:val="20"/>
              </w:rPr>
            </w:pPr>
          </w:p>
          <w:p w14:paraId="5B328B05" w14:textId="77777777" w:rsidR="00DE6EB5" w:rsidRPr="000A1C17" w:rsidRDefault="00DE6EB5" w:rsidP="004C0987">
            <w:pPr>
              <w:jc w:val="center"/>
              <w:rPr>
                <w:rFonts w:ascii="Century Gothic" w:eastAsia="Calibri" w:hAnsi="Century Gothic" w:cs="Times New Roman"/>
                <w:b/>
                <w:bCs/>
                <w:sz w:val="20"/>
                <w:szCs w:val="20"/>
              </w:rPr>
            </w:pPr>
          </w:p>
          <w:p w14:paraId="3D0C2B9D" w14:textId="77777777" w:rsidR="00DE6EB5" w:rsidRPr="000A1C17" w:rsidRDefault="00DE6EB5" w:rsidP="004C0987">
            <w:pPr>
              <w:jc w:val="center"/>
              <w:rPr>
                <w:rFonts w:ascii="Century Gothic" w:eastAsia="Calibri" w:hAnsi="Century Gothic" w:cs="Times New Roman"/>
                <w:b/>
                <w:bCs/>
                <w:sz w:val="20"/>
                <w:szCs w:val="20"/>
              </w:rPr>
            </w:pPr>
          </w:p>
          <w:p w14:paraId="16F1F5FD" w14:textId="77777777" w:rsidR="00DE6EB5" w:rsidRPr="000A1C17" w:rsidRDefault="00DE6EB5" w:rsidP="004C0987">
            <w:pPr>
              <w:jc w:val="center"/>
              <w:rPr>
                <w:rFonts w:ascii="Century Gothic" w:eastAsia="Calibri" w:hAnsi="Century Gothic" w:cs="Times New Roman"/>
                <w:b/>
                <w:bCs/>
                <w:sz w:val="20"/>
                <w:szCs w:val="20"/>
                <w:lang w:val="en-US"/>
              </w:rPr>
            </w:pPr>
            <w:r w:rsidRPr="000A1C17">
              <w:rPr>
                <w:rFonts w:ascii="Century Gothic" w:eastAsia="Calibri" w:hAnsi="Century Gothic" w:cs="Times New Roman"/>
                <w:b/>
                <w:bCs/>
                <w:sz w:val="20"/>
                <w:szCs w:val="20"/>
                <w:lang w:val="en-US"/>
              </w:rPr>
              <w:t>IDA</w:t>
            </w:r>
          </w:p>
        </w:tc>
        <w:tc>
          <w:tcPr>
            <w:tcW w:w="1461" w:type="pct"/>
            <w:tcBorders>
              <w:top w:val="single" w:sz="4" w:space="0" w:color="auto"/>
              <w:left w:val="single" w:sz="4" w:space="0" w:color="auto"/>
              <w:bottom w:val="single" w:sz="4" w:space="0" w:color="auto"/>
              <w:right w:val="single" w:sz="4" w:space="0" w:color="auto"/>
            </w:tcBorders>
            <w:shd w:val="clear" w:color="000000" w:fill="FFFFFF"/>
            <w:vAlign w:val="center"/>
          </w:tcPr>
          <w:p w14:paraId="5B76971E" w14:textId="139284B5" w:rsidR="00DE6EB5" w:rsidRPr="000A1C17" w:rsidRDefault="00DE6EB5" w:rsidP="004C0987">
            <w:pPr>
              <w:rPr>
                <w:rFonts w:ascii="Century Gothic" w:hAnsi="Century Gothic"/>
              </w:rPr>
            </w:pPr>
            <w:r w:rsidRPr="000A1C17">
              <w:rPr>
                <w:rFonts w:ascii="Century Gothic" w:hAnsi="Century Gothic"/>
                <w:color w:val="000000"/>
              </w:rPr>
              <w:t xml:space="preserve">Appel </w:t>
            </w:r>
            <w:r w:rsidR="007B0715" w:rsidRPr="000A1C17">
              <w:rPr>
                <w:rFonts w:ascii="Century Gothic" w:hAnsi="Century Gothic"/>
                <w:color w:val="000000"/>
              </w:rPr>
              <w:t>d’offres</w:t>
            </w:r>
            <w:r w:rsidRPr="000A1C17">
              <w:rPr>
                <w:rFonts w:ascii="Century Gothic" w:hAnsi="Century Gothic"/>
                <w:color w:val="000000"/>
              </w:rPr>
              <w:t xml:space="preserve">/ </w:t>
            </w:r>
          </w:p>
          <w:p w14:paraId="6F903A2E" w14:textId="77777777" w:rsidR="00DE6EB5" w:rsidRPr="000A1C17" w:rsidRDefault="00DE6EB5" w:rsidP="004C0987">
            <w:pPr>
              <w:rPr>
                <w:rFonts w:ascii="Century Gothic" w:hAnsi="Century Gothic"/>
              </w:rPr>
            </w:pPr>
            <w:r w:rsidRPr="000A1C17">
              <w:rPr>
                <w:rFonts w:ascii="Century Gothic" w:hAnsi="Century Gothic"/>
                <w:color w:val="000000"/>
              </w:rPr>
              <w:t>Ouvert-international/</w:t>
            </w:r>
          </w:p>
          <w:p w14:paraId="3AEA47DE" w14:textId="49960A06" w:rsidR="00DE6EB5" w:rsidRPr="000A1C17" w:rsidRDefault="00DE6EB5" w:rsidP="007B0715">
            <w:pPr>
              <w:rPr>
                <w:rFonts w:ascii="Century Gothic" w:eastAsia="Calibri" w:hAnsi="Century Gothic" w:cs="Times New Roman"/>
                <w:sz w:val="20"/>
                <w:szCs w:val="20"/>
              </w:rPr>
            </w:pPr>
            <w:r w:rsidRPr="000A1C17">
              <w:rPr>
                <w:rFonts w:ascii="Century Gothic" w:hAnsi="Century Gothic"/>
                <w:color w:val="000000"/>
              </w:rPr>
              <w:t xml:space="preserve">DTPM </w:t>
            </w:r>
            <w:r w:rsidR="000A1C17" w:rsidRPr="000A1C17">
              <w:rPr>
                <w:rFonts w:ascii="Century Gothic" w:hAnsi="Century Gothic"/>
                <w:color w:val="000000"/>
              </w:rPr>
              <w:t>mars</w:t>
            </w:r>
            <w:r w:rsidRPr="000A1C17">
              <w:rPr>
                <w:rFonts w:ascii="Century Gothic" w:hAnsi="Century Gothic"/>
                <w:color w:val="000000"/>
              </w:rPr>
              <w:t xml:space="preserve"> 202</w:t>
            </w:r>
            <w:r w:rsidR="000A1C17" w:rsidRPr="000A1C17">
              <w:rPr>
                <w:rFonts w:ascii="Century Gothic" w:hAnsi="Century Gothic"/>
                <w:color w:val="000000"/>
              </w:rPr>
              <w:t>6.</w:t>
            </w:r>
          </w:p>
        </w:tc>
      </w:tr>
    </w:tbl>
    <w:p w14:paraId="179B1265" w14:textId="3C2E404D" w:rsidR="008914C3" w:rsidRPr="000A1484" w:rsidRDefault="000E1A9D" w:rsidP="00DE6EB5">
      <w:pPr>
        <w:spacing w:before="360" w:after="120"/>
        <w:jc w:val="both"/>
        <w:rPr>
          <w:rFonts w:ascii="Century Gothic" w:eastAsia="Times New Roman" w:hAnsi="Century Gothic" w:cs="Times New Roman"/>
          <w:sz w:val="24"/>
          <w:szCs w:val="24"/>
          <w:lang w:eastAsia="fr-FR"/>
        </w:rPr>
      </w:pPr>
      <w:r w:rsidRPr="000A1484">
        <w:rPr>
          <w:rFonts w:ascii="Century Gothic" w:eastAsia="Times New Roman" w:hAnsi="Century Gothic" w:cs="Times New Roman"/>
          <w:sz w:val="24"/>
          <w:szCs w:val="24"/>
          <w:lang w:eastAsia="fr-FR"/>
        </w:rPr>
        <w:t>S’agissant des aspects</w:t>
      </w:r>
      <w:r w:rsidR="00AA5C7F" w:rsidRPr="000A1484">
        <w:rPr>
          <w:rFonts w:ascii="Century Gothic" w:eastAsia="Times New Roman" w:hAnsi="Century Gothic" w:cs="Times New Roman"/>
          <w:sz w:val="24"/>
          <w:szCs w:val="24"/>
          <w:lang w:eastAsia="fr-FR"/>
        </w:rPr>
        <w:t xml:space="preserve"> </w:t>
      </w:r>
      <w:r w:rsidR="00BA502A" w:rsidRPr="000A1484">
        <w:rPr>
          <w:rFonts w:ascii="Century Gothic" w:eastAsia="Times New Roman" w:hAnsi="Century Gothic" w:cs="Times New Roman"/>
          <w:sz w:val="24"/>
          <w:szCs w:val="24"/>
          <w:lang w:eastAsia="fr-FR"/>
        </w:rPr>
        <w:t>techniques,</w:t>
      </w:r>
      <w:r w:rsidR="00BA502A">
        <w:rPr>
          <w:rFonts w:ascii="Century Gothic" w:eastAsia="Times New Roman" w:hAnsi="Century Gothic" w:cs="Times New Roman"/>
          <w:sz w:val="24"/>
          <w:szCs w:val="24"/>
          <w:lang w:eastAsia="fr-FR"/>
        </w:rPr>
        <w:t xml:space="preserve"> </w:t>
      </w:r>
      <w:r w:rsidR="00B76036">
        <w:rPr>
          <w:rFonts w:ascii="Century Gothic" w:eastAsia="Times New Roman" w:hAnsi="Century Gothic" w:cs="Times New Roman"/>
          <w:sz w:val="24"/>
          <w:szCs w:val="24"/>
          <w:lang w:eastAsia="fr-FR"/>
        </w:rPr>
        <w:t xml:space="preserve">une </w:t>
      </w:r>
      <w:r w:rsidR="007642CE">
        <w:rPr>
          <w:rFonts w:ascii="Century Gothic" w:eastAsia="Times New Roman" w:hAnsi="Century Gothic" w:cs="Times New Roman"/>
          <w:sz w:val="24"/>
          <w:szCs w:val="24"/>
          <w:lang w:eastAsia="fr-FR"/>
        </w:rPr>
        <w:t>étude</w:t>
      </w:r>
      <w:r w:rsidR="00B76036">
        <w:rPr>
          <w:rFonts w:ascii="Century Gothic" w:eastAsia="Times New Roman" w:hAnsi="Century Gothic" w:cs="Times New Roman"/>
          <w:sz w:val="24"/>
          <w:szCs w:val="24"/>
          <w:lang w:eastAsia="fr-FR"/>
        </w:rPr>
        <w:t xml:space="preserve"> d’</w:t>
      </w:r>
      <w:r w:rsidR="000A1484" w:rsidRPr="000A1484">
        <w:rPr>
          <w:rFonts w:ascii="Century Gothic" w:eastAsia="Times New Roman" w:hAnsi="Century Gothic" w:cs="Times New Roman"/>
          <w:sz w:val="24"/>
          <w:szCs w:val="24"/>
          <w:lang w:eastAsia="fr-FR"/>
        </w:rPr>
        <w:t xml:space="preserve">Avant-Projet Détaillé (APD) </w:t>
      </w:r>
      <w:r w:rsidR="00B76036">
        <w:rPr>
          <w:rFonts w:ascii="Century Gothic" w:eastAsia="Times New Roman" w:hAnsi="Century Gothic" w:cs="Times New Roman"/>
          <w:sz w:val="24"/>
          <w:szCs w:val="24"/>
          <w:lang w:eastAsia="fr-FR"/>
        </w:rPr>
        <w:t>a</w:t>
      </w:r>
      <w:r w:rsidRPr="000A1484">
        <w:rPr>
          <w:rFonts w:ascii="Century Gothic" w:eastAsia="Times New Roman" w:hAnsi="Century Gothic" w:cs="Times New Roman"/>
          <w:sz w:val="24"/>
          <w:szCs w:val="24"/>
          <w:lang w:eastAsia="fr-FR"/>
        </w:rPr>
        <w:t xml:space="preserve"> été réalisée </w:t>
      </w:r>
      <w:r w:rsidR="009F362F" w:rsidRPr="000A1484">
        <w:rPr>
          <w:rFonts w:ascii="Century Gothic" w:eastAsia="Times New Roman" w:hAnsi="Century Gothic" w:cs="Times New Roman"/>
          <w:sz w:val="24"/>
          <w:szCs w:val="24"/>
          <w:lang w:eastAsia="fr-FR"/>
        </w:rPr>
        <w:t xml:space="preserve">et dont le rapport décrit </w:t>
      </w:r>
      <w:r w:rsidR="000A1484" w:rsidRPr="000A1484">
        <w:rPr>
          <w:rFonts w:ascii="Century Gothic" w:eastAsia="Times New Roman" w:hAnsi="Century Gothic" w:cs="Times New Roman"/>
          <w:sz w:val="24"/>
          <w:szCs w:val="24"/>
          <w:lang w:eastAsia="fr-FR"/>
        </w:rPr>
        <w:t xml:space="preserve">toutes </w:t>
      </w:r>
      <w:r w:rsidR="009F362F" w:rsidRPr="000A1484">
        <w:rPr>
          <w:rFonts w:ascii="Century Gothic" w:eastAsia="Times New Roman" w:hAnsi="Century Gothic" w:cs="Times New Roman"/>
          <w:sz w:val="24"/>
          <w:szCs w:val="24"/>
          <w:lang w:eastAsia="fr-FR"/>
        </w:rPr>
        <w:t xml:space="preserve">les </w:t>
      </w:r>
      <w:r w:rsidR="000A1484" w:rsidRPr="000A1484">
        <w:rPr>
          <w:rFonts w:ascii="Century Gothic" w:eastAsia="Times New Roman" w:hAnsi="Century Gothic" w:cs="Times New Roman"/>
          <w:sz w:val="24"/>
          <w:szCs w:val="24"/>
          <w:lang w:eastAsia="fr-FR"/>
        </w:rPr>
        <w:t xml:space="preserve">prescriptions techniques </w:t>
      </w:r>
      <w:r w:rsidR="009F362F" w:rsidRPr="000A1484">
        <w:rPr>
          <w:rFonts w:ascii="Century Gothic" w:eastAsia="Times New Roman" w:hAnsi="Century Gothic" w:cs="Times New Roman"/>
          <w:sz w:val="24"/>
          <w:szCs w:val="24"/>
          <w:lang w:eastAsia="fr-FR"/>
        </w:rPr>
        <w:t xml:space="preserve">à prendre en compte pour </w:t>
      </w:r>
      <w:r w:rsidR="000A1484" w:rsidRPr="000A1484">
        <w:rPr>
          <w:rFonts w:ascii="Century Gothic" w:eastAsia="Times New Roman" w:hAnsi="Century Gothic" w:cs="Times New Roman"/>
          <w:sz w:val="24"/>
          <w:szCs w:val="24"/>
          <w:lang w:eastAsia="fr-FR"/>
        </w:rPr>
        <w:t xml:space="preserve">la réhabilitation, le renforcement et l’extension des réseaux de distribution électriques HTA et BT du centre urbain de </w:t>
      </w:r>
      <w:r w:rsidR="00DD629E">
        <w:rPr>
          <w:rFonts w:ascii="Century Gothic" w:eastAsia="Times New Roman" w:hAnsi="Century Gothic" w:cs="Times New Roman"/>
          <w:sz w:val="24"/>
          <w:szCs w:val="24"/>
          <w:lang w:eastAsia="fr-FR"/>
        </w:rPr>
        <w:t>Kindia</w:t>
      </w:r>
      <w:r w:rsidR="000A1484" w:rsidRPr="000A1484">
        <w:rPr>
          <w:rFonts w:ascii="Century Gothic" w:eastAsia="Times New Roman" w:hAnsi="Century Gothic" w:cs="Times New Roman"/>
          <w:sz w:val="24"/>
          <w:szCs w:val="24"/>
          <w:lang w:eastAsia="fr-FR"/>
        </w:rPr>
        <w:t xml:space="preserve"> et </w:t>
      </w:r>
      <w:r w:rsidR="00DD629E">
        <w:rPr>
          <w:rFonts w:ascii="Century Gothic" w:eastAsia="Times New Roman" w:hAnsi="Century Gothic" w:cs="Times New Roman"/>
          <w:sz w:val="24"/>
          <w:szCs w:val="24"/>
          <w:lang w:eastAsia="fr-FR"/>
        </w:rPr>
        <w:t xml:space="preserve">la réhabilitation de la ligne </w:t>
      </w:r>
      <w:proofErr w:type="spellStart"/>
      <w:r w:rsidR="00DD629E">
        <w:rPr>
          <w:rFonts w:ascii="Century Gothic" w:eastAsia="Times New Roman" w:hAnsi="Century Gothic" w:cs="Times New Roman"/>
          <w:sz w:val="24"/>
          <w:szCs w:val="24"/>
          <w:lang w:eastAsia="fr-FR"/>
        </w:rPr>
        <w:t>Donkéa</w:t>
      </w:r>
      <w:proofErr w:type="spellEnd"/>
      <w:r w:rsidR="00DD629E">
        <w:rPr>
          <w:rFonts w:ascii="Century Gothic" w:eastAsia="Times New Roman" w:hAnsi="Century Gothic" w:cs="Times New Roman"/>
          <w:sz w:val="24"/>
          <w:szCs w:val="24"/>
          <w:lang w:eastAsia="fr-FR"/>
        </w:rPr>
        <w:t>-Kindia</w:t>
      </w:r>
      <w:r w:rsidR="009F362F" w:rsidRPr="000A1484">
        <w:rPr>
          <w:rFonts w:ascii="Century Gothic" w:eastAsia="Times New Roman" w:hAnsi="Century Gothic" w:cs="Times New Roman"/>
          <w:sz w:val="24"/>
          <w:szCs w:val="24"/>
          <w:lang w:eastAsia="fr-FR"/>
        </w:rPr>
        <w:t>. Ce document sera inséré dans le DAO</w:t>
      </w:r>
      <w:r w:rsidR="000A1484" w:rsidRPr="000A1484">
        <w:rPr>
          <w:rFonts w:ascii="Century Gothic" w:eastAsia="Times New Roman" w:hAnsi="Century Gothic" w:cs="Times New Roman"/>
          <w:sz w:val="24"/>
          <w:szCs w:val="24"/>
          <w:lang w:eastAsia="fr-FR"/>
        </w:rPr>
        <w:t>I</w:t>
      </w:r>
      <w:r w:rsidR="009F362F" w:rsidRPr="000A1484">
        <w:rPr>
          <w:rFonts w:ascii="Century Gothic" w:eastAsia="Times New Roman" w:hAnsi="Century Gothic" w:cs="Times New Roman"/>
          <w:sz w:val="24"/>
          <w:szCs w:val="24"/>
          <w:lang w:eastAsia="fr-FR"/>
        </w:rPr>
        <w:t>.</w:t>
      </w:r>
    </w:p>
    <w:p w14:paraId="7E94E992" w14:textId="4C46A18C" w:rsidR="00780A9D" w:rsidRPr="00A028ED" w:rsidRDefault="002E25B4" w:rsidP="009F362F">
      <w:pPr>
        <w:spacing w:before="120" w:after="120"/>
        <w:jc w:val="both"/>
        <w:rPr>
          <w:rFonts w:ascii="Century Gothic" w:eastAsia="Times New Roman" w:hAnsi="Century Gothic" w:cs="Times New Roman"/>
          <w:sz w:val="24"/>
          <w:szCs w:val="24"/>
          <w:lang w:eastAsia="fr-FR"/>
        </w:rPr>
      </w:pPr>
      <w:r w:rsidRPr="00A028ED">
        <w:rPr>
          <w:rFonts w:ascii="Century Gothic" w:eastAsia="Times New Roman" w:hAnsi="Century Gothic" w:cs="Times New Roman"/>
          <w:sz w:val="24"/>
          <w:szCs w:val="24"/>
          <w:lang w:eastAsia="fr-FR"/>
        </w:rPr>
        <w:t xml:space="preserve">Des études d’impact environnemental et social ont été également réalisées sur </w:t>
      </w:r>
      <w:r w:rsidR="009F362F" w:rsidRPr="00A028ED">
        <w:rPr>
          <w:rFonts w:ascii="Century Gothic" w:eastAsia="Times New Roman" w:hAnsi="Century Gothic" w:cs="Times New Roman"/>
          <w:sz w:val="24"/>
          <w:szCs w:val="24"/>
          <w:lang w:eastAsia="fr-FR"/>
        </w:rPr>
        <w:t>ce</w:t>
      </w:r>
      <w:r w:rsidR="007B0715">
        <w:rPr>
          <w:rFonts w:ascii="Century Gothic" w:eastAsia="Times New Roman" w:hAnsi="Century Gothic" w:cs="Times New Roman"/>
          <w:sz w:val="24"/>
          <w:szCs w:val="24"/>
          <w:lang w:eastAsia="fr-FR"/>
        </w:rPr>
        <w:t xml:space="preserve"> projet </w:t>
      </w:r>
      <w:r w:rsidRPr="00A028ED">
        <w:rPr>
          <w:rFonts w:ascii="Century Gothic" w:eastAsia="Times New Roman" w:hAnsi="Century Gothic" w:cs="Times New Roman"/>
          <w:sz w:val="24"/>
          <w:szCs w:val="24"/>
          <w:lang w:eastAsia="fr-FR"/>
        </w:rPr>
        <w:t xml:space="preserve">et </w:t>
      </w:r>
      <w:r w:rsidR="009F362F" w:rsidRPr="00A028ED">
        <w:rPr>
          <w:rFonts w:ascii="Century Gothic" w:eastAsia="Times New Roman" w:hAnsi="Century Gothic" w:cs="Times New Roman"/>
          <w:sz w:val="24"/>
          <w:szCs w:val="24"/>
          <w:lang w:eastAsia="fr-FR"/>
        </w:rPr>
        <w:t>le</w:t>
      </w:r>
      <w:r w:rsidRPr="00A028ED">
        <w:rPr>
          <w:rFonts w:ascii="Century Gothic" w:eastAsia="Times New Roman" w:hAnsi="Century Gothic" w:cs="Times New Roman"/>
          <w:sz w:val="24"/>
          <w:szCs w:val="24"/>
          <w:lang w:eastAsia="fr-FR"/>
        </w:rPr>
        <w:t xml:space="preserve"> PGES ser</w:t>
      </w:r>
      <w:r w:rsidR="009F362F" w:rsidRPr="00A028ED">
        <w:rPr>
          <w:rFonts w:ascii="Century Gothic" w:eastAsia="Times New Roman" w:hAnsi="Century Gothic" w:cs="Times New Roman"/>
          <w:sz w:val="24"/>
          <w:szCs w:val="24"/>
          <w:lang w:eastAsia="fr-FR"/>
        </w:rPr>
        <w:t>a</w:t>
      </w:r>
      <w:r w:rsidRPr="00A028ED">
        <w:rPr>
          <w:rFonts w:ascii="Century Gothic" w:eastAsia="Times New Roman" w:hAnsi="Century Gothic" w:cs="Times New Roman"/>
          <w:sz w:val="24"/>
          <w:szCs w:val="24"/>
          <w:lang w:eastAsia="fr-FR"/>
        </w:rPr>
        <w:t xml:space="preserve"> aussi inséré dans le</w:t>
      </w:r>
      <w:r w:rsidR="009F362F" w:rsidRPr="00A028ED">
        <w:rPr>
          <w:rFonts w:ascii="Century Gothic" w:eastAsia="Times New Roman" w:hAnsi="Century Gothic" w:cs="Times New Roman"/>
          <w:sz w:val="24"/>
          <w:szCs w:val="24"/>
          <w:lang w:eastAsia="fr-FR"/>
        </w:rPr>
        <w:t xml:space="preserve"> </w:t>
      </w:r>
      <w:r w:rsidRPr="00A028ED">
        <w:rPr>
          <w:rFonts w:ascii="Century Gothic" w:eastAsia="Times New Roman" w:hAnsi="Century Gothic" w:cs="Times New Roman"/>
          <w:sz w:val="24"/>
          <w:szCs w:val="24"/>
          <w:lang w:eastAsia="fr-FR"/>
        </w:rPr>
        <w:t xml:space="preserve">DAO </w:t>
      </w:r>
      <w:r w:rsidR="009F362F" w:rsidRPr="00A028ED">
        <w:rPr>
          <w:rFonts w:ascii="Century Gothic" w:eastAsia="Times New Roman" w:hAnsi="Century Gothic" w:cs="Times New Roman"/>
          <w:sz w:val="24"/>
          <w:szCs w:val="24"/>
          <w:lang w:eastAsia="fr-FR"/>
        </w:rPr>
        <w:t xml:space="preserve">des </w:t>
      </w:r>
      <w:r w:rsidRPr="00A028ED">
        <w:rPr>
          <w:rFonts w:ascii="Century Gothic" w:eastAsia="Times New Roman" w:hAnsi="Century Gothic" w:cs="Times New Roman"/>
          <w:sz w:val="24"/>
          <w:szCs w:val="24"/>
          <w:lang w:eastAsia="fr-FR"/>
        </w:rPr>
        <w:t>travaux.</w:t>
      </w:r>
    </w:p>
    <w:p w14:paraId="3C2F5E98" w14:textId="77777777" w:rsidR="003A6FAC" w:rsidRPr="00A028ED" w:rsidRDefault="003A6FAC" w:rsidP="00437801">
      <w:pPr>
        <w:spacing w:before="240" w:after="240"/>
        <w:jc w:val="both"/>
        <w:outlineLvl w:val="0"/>
        <w:rPr>
          <w:rFonts w:ascii="Century Gothic" w:hAnsi="Century Gothic" w:cs="Times New Roman"/>
          <w:b/>
          <w:sz w:val="24"/>
          <w:szCs w:val="24"/>
        </w:rPr>
      </w:pPr>
      <w:r w:rsidRPr="00A028ED">
        <w:rPr>
          <w:rFonts w:ascii="Century Gothic" w:hAnsi="Century Gothic" w:cs="Times New Roman"/>
          <w:b/>
          <w:sz w:val="24"/>
          <w:szCs w:val="24"/>
        </w:rPr>
        <w:lastRenderedPageBreak/>
        <w:t xml:space="preserve">4. LES RISQUES DU PROJET </w:t>
      </w:r>
    </w:p>
    <w:p w14:paraId="3B1BB515" w14:textId="2280F119" w:rsidR="00182177" w:rsidRPr="00A028ED" w:rsidRDefault="00182177" w:rsidP="003A6FAC">
      <w:pPr>
        <w:jc w:val="both"/>
        <w:rPr>
          <w:rFonts w:ascii="Century Gothic" w:hAnsi="Century Gothic"/>
          <w:color w:val="000000"/>
        </w:rPr>
      </w:pPr>
      <w:r w:rsidRPr="00A028ED">
        <w:rPr>
          <w:rFonts w:ascii="Century Gothic" w:hAnsi="Century Gothic"/>
          <w:color w:val="000000"/>
        </w:rPr>
        <w:t xml:space="preserve">Le risque global de passation des marchés pour le Projet </w:t>
      </w:r>
      <w:r w:rsidR="007B0715">
        <w:rPr>
          <w:rFonts w:ascii="Century Gothic" w:hAnsi="Century Gothic"/>
          <w:color w:val="000000"/>
        </w:rPr>
        <w:t>d’amélioration de l’accès à l’électricité en</w:t>
      </w:r>
      <w:r w:rsidRPr="00A028ED">
        <w:rPr>
          <w:rFonts w:ascii="Century Gothic" w:hAnsi="Century Gothic"/>
          <w:color w:val="000000"/>
        </w:rPr>
        <w:t xml:space="preserve"> Guinée peut être défini comme le niveau de vulnérabilité du projet à des retards, irrégularités ou inefficacités dans la planification, la préparation, la mise en œuvre, la supervision ou le contrôle des activités de passation des marchés, pouvant compromettre la bonne exécution du projet et l’atteinte de ses objectifs en matière </w:t>
      </w:r>
      <w:r w:rsidR="007B0715">
        <w:rPr>
          <w:rFonts w:ascii="Century Gothic" w:hAnsi="Century Gothic"/>
          <w:color w:val="000000"/>
        </w:rPr>
        <w:t>d’accès à l’électricité en Guinée</w:t>
      </w:r>
      <w:r w:rsidRPr="00A028ED">
        <w:rPr>
          <w:rFonts w:ascii="Century Gothic" w:hAnsi="Century Gothic"/>
          <w:color w:val="000000"/>
        </w:rPr>
        <w:t>.</w:t>
      </w:r>
    </w:p>
    <w:p w14:paraId="108D73E5" w14:textId="5E1A670D" w:rsidR="00686DDA" w:rsidRPr="00A028ED" w:rsidRDefault="00686DDA" w:rsidP="00686DDA">
      <w:pPr>
        <w:jc w:val="both"/>
        <w:rPr>
          <w:rFonts w:ascii="Century Gothic" w:hAnsi="Century Gothic"/>
          <w:color w:val="000000"/>
        </w:rPr>
      </w:pPr>
      <w:r w:rsidRPr="00A028ED">
        <w:rPr>
          <w:rFonts w:ascii="Century Gothic" w:hAnsi="Century Gothic"/>
          <w:b/>
          <w:bCs/>
          <w:color w:val="000000"/>
        </w:rPr>
        <w:t xml:space="preserve">Le niveau de risque estimé </w:t>
      </w:r>
      <w:r w:rsidRPr="00A028ED">
        <w:rPr>
          <w:rFonts w:ascii="Century Gothic" w:hAnsi="Century Gothic"/>
          <w:color w:val="000000"/>
        </w:rPr>
        <w:t xml:space="preserve">selon l’analyse des capacités institutionnelles, des précédents projets et des conditions locales, est </w:t>
      </w:r>
      <w:r w:rsidRPr="0013159D">
        <w:rPr>
          <w:rFonts w:ascii="Century Gothic" w:hAnsi="Century Gothic"/>
          <w:color w:val="000000"/>
        </w:rPr>
        <w:t>“</w:t>
      </w:r>
      <w:r w:rsidR="0013159D" w:rsidRPr="0013159D">
        <w:rPr>
          <w:rFonts w:ascii="Century Gothic" w:hAnsi="Century Gothic"/>
          <w:color w:val="000000"/>
        </w:rPr>
        <w:t xml:space="preserve"> </w:t>
      </w:r>
      <w:r w:rsidR="0013159D" w:rsidRPr="0013159D">
        <w:rPr>
          <w:rFonts w:ascii="Century Gothic" w:hAnsi="Century Gothic"/>
          <w:b/>
          <w:i/>
          <w:color w:val="000000"/>
        </w:rPr>
        <w:t>Substantiel</w:t>
      </w:r>
      <w:r w:rsidR="0013159D" w:rsidRPr="0013159D">
        <w:rPr>
          <w:rFonts w:ascii="Century Gothic" w:hAnsi="Century Gothic"/>
          <w:color w:val="000000"/>
        </w:rPr>
        <w:t xml:space="preserve"> </w:t>
      </w:r>
      <w:r w:rsidRPr="0013159D">
        <w:rPr>
          <w:rFonts w:ascii="Century Gothic" w:hAnsi="Century Gothic"/>
          <w:color w:val="000000"/>
        </w:rPr>
        <w:t>”</w:t>
      </w:r>
      <w:r w:rsidRPr="00A028ED">
        <w:rPr>
          <w:rFonts w:ascii="Century Gothic" w:hAnsi="Century Gothic"/>
          <w:color w:val="000000"/>
        </w:rPr>
        <w:t>, nécessitant un suivi étroit, des mesures de mitigation et un plan de renforcement des capacités.</w:t>
      </w:r>
    </w:p>
    <w:p w14:paraId="737C3F5F" w14:textId="5047FA6D" w:rsidR="003A6FAC" w:rsidRDefault="00AA5C7F" w:rsidP="00DE6EB5">
      <w:pPr>
        <w:spacing w:after="0"/>
        <w:jc w:val="both"/>
        <w:rPr>
          <w:rFonts w:ascii="Century Gothic" w:hAnsi="Century Gothic"/>
          <w:color w:val="000000"/>
        </w:rPr>
      </w:pPr>
      <w:r w:rsidRPr="00A028ED">
        <w:rPr>
          <w:rFonts w:ascii="Century Gothic" w:hAnsi="Century Gothic"/>
          <w:color w:val="000000"/>
        </w:rPr>
        <w:t>S’agissant du marché relatif au</w:t>
      </w:r>
      <w:r w:rsidR="00FD30CF">
        <w:rPr>
          <w:rFonts w:ascii="Century Gothic" w:hAnsi="Century Gothic"/>
          <w:color w:val="000000"/>
        </w:rPr>
        <w:t>x</w:t>
      </w:r>
      <w:r w:rsidRPr="00A028ED">
        <w:rPr>
          <w:rFonts w:ascii="Century Gothic" w:hAnsi="Century Gothic"/>
          <w:color w:val="000000"/>
        </w:rPr>
        <w:t xml:space="preserve"> </w:t>
      </w:r>
      <w:r w:rsidR="00FD30CF">
        <w:rPr>
          <w:rFonts w:ascii="Century Gothic" w:hAnsi="Century Gothic"/>
          <w:color w:val="000000"/>
        </w:rPr>
        <w:t>travaux</w:t>
      </w:r>
      <w:r w:rsidRPr="00A028ED">
        <w:rPr>
          <w:rFonts w:ascii="Century Gothic" w:hAnsi="Century Gothic"/>
          <w:color w:val="000000"/>
        </w:rPr>
        <w:t>, l</w:t>
      </w:r>
      <w:r w:rsidR="003A6FAC" w:rsidRPr="00A028ED">
        <w:rPr>
          <w:rFonts w:ascii="Century Gothic" w:hAnsi="Century Gothic"/>
          <w:color w:val="000000"/>
        </w:rPr>
        <w:t>es risques identifiés et les mesures d’atténuation proposées se présentent comme suit :</w:t>
      </w:r>
    </w:p>
    <w:p w14:paraId="745F112B" w14:textId="77777777" w:rsidR="00FD30CF" w:rsidRPr="00A028ED" w:rsidRDefault="00FD30CF" w:rsidP="00DE6EB5">
      <w:pPr>
        <w:spacing w:after="0"/>
        <w:jc w:val="both"/>
        <w:rPr>
          <w:rFonts w:ascii="Century Gothic" w:hAnsi="Century Gothic" w:cs="Times New Roman"/>
          <w:b/>
          <w:sz w:val="24"/>
          <w:szCs w:val="24"/>
        </w:rPr>
      </w:pPr>
    </w:p>
    <w:tbl>
      <w:tblPr>
        <w:tblW w:w="5573"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5608"/>
        <w:gridCol w:w="1255"/>
        <w:gridCol w:w="1257"/>
      </w:tblGrid>
      <w:tr w:rsidR="00FD30CF" w:rsidRPr="00FD30CF" w14:paraId="77F448FE" w14:textId="77777777" w:rsidTr="00BA502A">
        <w:trPr>
          <w:trHeight w:val="816"/>
          <w:tblHeader/>
        </w:trPr>
        <w:tc>
          <w:tcPr>
            <w:tcW w:w="981" w:type="pct"/>
            <w:shd w:val="clear" w:color="auto" w:fill="CCCCCC"/>
          </w:tcPr>
          <w:p w14:paraId="18F29B46" w14:textId="77777777" w:rsidR="00FD30CF" w:rsidRPr="00FD30CF" w:rsidRDefault="00FD30CF" w:rsidP="00A22303">
            <w:pPr>
              <w:spacing w:line="360" w:lineRule="auto"/>
              <w:ind w:right="309"/>
              <w:rPr>
                <w:rFonts w:ascii="Century Gothic" w:hAnsi="Century Gothic"/>
                <w:b/>
                <w:sz w:val="20"/>
                <w:szCs w:val="20"/>
              </w:rPr>
            </w:pPr>
            <w:r w:rsidRPr="00FD30CF">
              <w:rPr>
                <w:rFonts w:ascii="Century Gothic" w:hAnsi="Century Gothic"/>
                <w:b/>
                <w:sz w:val="20"/>
                <w:szCs w:val="20"/>
              </w:rPr>
              <w:t>Description du risque</w:t>
            </w:r>
          </w:p>
        </w:tc>
        <w:tc>
          <w:tcPr>
            <w:tcW w:w="2776" w:type="pct"/>
            <w:shd w:val="clear" w:color="auto" w:fill="CCCCCC"/>
          </w:tcPr>
          <w:p w14:paraId="2E3B9CAE" w14:textId="77777777" w:rsidR="00FD30CF" w:rsidRPr="00FD30CF" w:rsidRDefault="00FD30CF" w:rsidP="00A22303">
            <w:pPr>
              <w:spacing w:line="360" w:lineRule="auto"/>
              <w:rPr>
                <w:rFonts w:ascii="Century Gothic" w:hAnsi="Century Gothic"/>
                <w:b/>
                <w:sz w:val="20"/>
                <w:szCs w:val="20"/>
              </w:rPr>
            </w:pPr>
            <w:r w:rsidRPr="00FD30CF">
              <w:rPr>
                <w:rFonts w:ascii="Century Gothic" w:hAnsi="Century Gothic"/>
                <w:b/>
                <w:sz w:val="20"/>
                <w:szCs w:val="20"/>
              </w:rPr>
              <w:t>Description des mesures d’atténuation envisagées</w:t>
            </w:r>
          </w:p>
        </w:tc>
        <w:tc>
          <w:tcPr>
            <w:tcW w:w="621" w:type="pct"/>
            <w:shd w:val="clear" w:color="auto" w:fill="CCCCCC"/>
          </w:tcPr>
          <w:p w14:paraId="3FF6874B" w14:textId="77777777" w:rsidR="00FD30CF" w:rsidRPr="00FD30CF" w:rsidRDefault="00FD30CF" w:rsidP="00A22303">
            <w:pPr>
              <w:spacing w:line="360" w:lineRule="auto"/>
              <w:rPr>
                <w:rFonts w:ascii="Century Gothic" w:hAnsi="Century Gothic"/>
                <w:b/>
                <w:sz w:val="20"/>
                <w:szCs w:val="20"/>
              </w:rPr>
            </w:pPr>
            <w:r w:rsidRPr="00FD30CF">
              <w:rPr>
                <w:rFonts w:ascii="Century Gothic" w:hAnsi="Century Gothic"/>
                <w:b/>
                <w:sz w:val="20"/>
                <w:szCs w:val="20"/>
              </w:rPr>
              <w:t>Détenteur du risque</w:t>
            </w:r>
          </w:p>
        </w:tc>
        <w:tc>
          <w:tcPr>
            <w:tcW w:w="622" w:type="pct"/>
            <w:shd w:val="clear" w:color="auto" w:fill="CCCCCC"/>
          </w:tcPr>
          <w:p w14:paraId="6FB1180B" w14:textId="77777777" w:rsidR="00FD30CF" w:rsidRPr="00FD30CF" w:rsidRDefault="00FD30CF" w:rsidP="00A22303">
            <w:pPr>
              <w:spacing w:line="360" w:lineRule="auto"/>
              <w:rPr>
                <w:rFonts w:ascii="Century Gothic" w:hAnsi="Century Gothic"/>
                <w:b/>
                <w:sz w:val="20"/>
                <w:szCs w:val="20"/>
              </w:rPr>
            </w:pPr>
            <w:r w:rsidRPr="00FD30CF">
              <w:rPr>
                <w:rFonts w:ascii="Century Gothic" w:hAnsi="Century Gothic"/>
                <w:b/>
                <w:sz w:val="20"/>
                <w:szCs w:val="20"/>
              </w:rPr>
              <w:t>Niveau de criticité</w:t>
            </w:r>
          </w:p>
        </w:tc>
      </w:tr>
      <w:tr w:rsidR="00FD30CF" w:rsidRPr="00FD30CF" w14:paraId="3547C613" w14:textId="77777777" w:rsidTr="00BA502A">
        <w:trPr>
          <w:trHeight w:val="1510"/>
        </w:trPr>
        <w:tc>
          <w:tcPr>
            <w:tcW w:w="981" w:type="pct"/>
          </w:tcPr>
          <w:p w14:paraId="5651A541" w14:textId="77777777" w:rsidR="00FD30CF" w:rsidRPr="00FD30CF" w:rsidRDefault="00FD30CF" w:rsidP="00A22303">
            <w:pPr>
              <w:spacing w:line="360" w:lineRule="auto"/>
              <w:ind w:left="175" w:right="183"/>
              <w:rPr>
                <w:rFonts w:ascii="Century Gothic" w:hAnsi="Century Gothic"/>
                <w:color w:val="000000"/>
                <w:sz w:val="20"/>
                <w:szCs w:val="20"/>
              </w:rPr>
            </w:pPr>
            <w:r w:rsidRPr="00FD30CF">
              <w:rPr>
                <w:rFonts w:ascii="Century Gothic" w:hAnsi="Century Gothic"/>
                <w:color w:val="000000"/>
                <w:sz w:val="20"/>
                <w:szCs w:val="20"/>
              </w:rPr>
              <w:t xml:space="preserve">Travaux urbains </w:t>
            </w:r>
          </w:p>
        </w:tc>
        <w:tc>
          <w:tcPr>
            <w:tcW w:w="2776" w:type="pct"/>
          </w:tcPr>
          <w:p w14:paraId="153D8CBA" w14:textId="0C42C427"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Procédures de remise à disposition de l'espace public</w:t>
            </w:r>
          </w:p>
          <w:p w14:paraId="754C7470" w14:textId="12D3A5DF"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Sensibilisation auprès des communautés et des autorités (délivrance des permis)</w:t>
            </w:r>
          </w:p>
          <w:p w14:paraId="111BE7B9" w14:textId="127B1958"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Mobilisation des jeunes (emploi, rôle informationnel...)</w:t>
            </w:r>
          </w:p>
        </w:tc>
        <w:tc>
          <w:tcPr>
            <w:tcW w:w="621" w:type="pct"/>
          </w:tcPr>
          <w:p w14:paraId="76956192" w14:textId="77777777" w:rsidR="00FD30CF" w:rsidRPr="00FD30CF" w:rsidRDefault="00FD30CF" w:rsidP="00A22303">
            <w:pPr>
              <w:spacing w:line="360" w:lineRule="auto"/>
              <w:jc w:val="center"/>
              <w:rPr>
                <w:rFonts w:ascii="Century Gothic" w:hAnsi="Century Gothic"/>
                <w:sz w:val="20"/>
                <w:szCs w:val="20"/>
              </w:rPr>
            </w:pPr>
          </w:p>
          <w:p w14:paraId="5BCD152C"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Client</w:t>
            </w:r>
          </w:p>
          <w:p w14:paraId="65B231FE" w14:textId="77777777" w:rsidR="00FD30CF" w:rsidRPr="00FD30CF" w:rsidRDefault="00FD30CF" w:rsidP="00A22303">
            <w:pPr>
              <w:spacing w:line="360" w:lineRule="auto"/>
              <w:jc w:val="center"/>
              <w:rPr>
                <w:rFonts w:ascii="Century Gothic" w:hAnsi="Century Gothic"/>
                <w:sz w:val="20"/>
                <w:szCs w:val="20"/>
              </w:rPr>
            </w:pPr>
          </w:p>
        </w:tc>
        <w:tc>
          <w:tcPr>
            <w:tcW w:w="622" w:type="pct"/>
          </w:tcPr>
          <w:p w14:paraId="0034C487" w14:textId="77777777" w:rsidR="00FD30CF" w:rsidRPr="00FD30CF" w:rsidRDefault="00FD30CF" w:rsidP="00A22303">
            <w:pPr>
              <w:spacing w:line="360" w:lineRule="auto"/>
              <w:jc w:val="center"/>
              <w:rPr>
                <w:rFonts w:ascii="Century Gothic" w:hAnsi="Century Gothic"/>
                <w:sz w:val="20"/>
                <w:szCs w:val="20"/>
              </w:rPr>
            </w:pPr>
          </w:p>
          <w:p w14:paraId="03642E10"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Substantiel</w:t>
            </w:r>
          </w:p>
        </w:tc>
      </w:tr>
      <w:tr w:rsidR="00FD30CF" w:rsidRPr="00FD30CF" w14:paraId="6C2EC0EE" w14:textId="77777777" w:rsidTr="00BA502A">
        <w:trPr>
          <w:trHeight w:val="2053"/>
        </w:trPr>
        <w:tc>
          <w:tcPr>
            <w:tcW w:w="981" w:type="pct"/>
          </w:tcPr>
          <w:p w14:paraId="1D8699D6" w14:textId="77777777" w:rsidR="00FD30CF" w:rsidRPr="00FD30CF" w:rsidRDefault="00FD30CF" w:rsidP="00FD30CF">
            <w:pPr>
              <w:spacing w:line="240" w:lineRule="auto"/>
              <w:ind w:left="175" w:right="183"/>
              <w:rPr>
                <w:rFonts w:ascii="Century Gothic" w:hAnsi="Century Gothic"/>
                <w:color w:val="000000"/>
                <w:sz w:val="20"/>
                <w:szCs w:val="20"/>
              </w:rPr>
            </w:pPr>
            <w:r w:rsidRPr="00FD30CF">
              <w:rPr>
                <w:rFonts w:ascii="Century Gothic" w:hAnsi="Century Gothic"/>
                <w:color w:val="000000"/>
                <w:sz w:val="20"/>
                <w:szCs w:val="20"/>
              </w:rPr>
              <w:t>Sécurité des zones de travaux</w:t>
            </w:r>
          </w:p>
        </w:tc>
        <w:tc>
          <w:tcPr>
            <w:tcW w:w="2776" w:type="pct"/>
          </w:tcPr>
          <w:p w14:paraId="4FC86C9D" w14:textId="15465A2E"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Consignation minutieuse des tronçons à risque</w:t>
            </w:r>
          </w:p>
          <w:p w14:paraId="56FB9844" w14:textId="7BE56492"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Utilisation systématique des Équipements de Protection Individuelle (EPI) et contrôles réguliers par les fournisseurs et les autorités auprès des opérateurs sur les chantiers</w:t>
            </w:r>
          </w:p>
          <w:p w14:paraId="0D0D46F7" w14:textId="625784B7"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Renforcement de la communication auprès des communautés (coupures,)</w:t>
            </w:r>
          </w:p>
          <w:p w14:paraId="51683889" w14:textId="65CDE619"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Mobilisation des jeunes dans la sécurisation et l'emploi sur les sites de travaux</w:t>
            </w:r>
          </w:p>
        </w:tc>
        <w:tc>
          <w:tcPr>
            <w:tcW w:w="621" w:type="pct"/>
          </w:tcPr>
          <w:p w14:paraId="264DD290" w14:textId="77777777" w:rsidR="00FD30CF" w:rsidRPr="00FD30CF" w:rsidRDefault="00FD30CF" w:rsidP="00A22303">
            <w:pPr>
              <w:spacing w:line="360" w:lineRule="auto"/>
              <w:jc w:val="center"/>
              <w:rPr>
                <w:rFonts w:ascii="Century Gothic" w:hAnsi="Century Gothic"/>
                <w:sz w:val="20"/>
                <w:szCs w:val="20"/>
              </w:rPr>
            </w:pPr>
          </w:p>
          <w:p w14:paraId="12939C48"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Client / Fournisseur</w:t>
            </w:r>
          </w:p>
        </w:tc>
        <w:tc>
          <w:tcPr>
            <w:tcW w:w="622" w:type="pct"/>
          </w:tcPr>
          <w:p w14:paraId="43DF31F3" w14:textId="77777777" w:rsidR="00FD30CF" w:rsidRPr="00FD30CF" w:rsidRDefault="00FD30CF" w:rsidP="00A22303">
            <w:pPr>
              <w:spacing w:line="360" w:lineRule="auto"/>
              <w:jc w:val="center"/>
              <w:rPr>
                <w:rFonts w:ascii="Century Gothic" w:hAnsi="Century Gothic"/>
                <w:sz w:val="20"/>
                <w:szCs w:val="20"/>
              </w:rPr>
            </w:pPr>
          </w:p>
          <w:p w14:paraId="648C0F2B"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Substantiel</w:t>
            </w:r>
          </w:p>
        </w:tc>
      </w:tr>
      <w:tr w:rsidR="00FD30CF" w:rsidRPr="00FD30CF" w14:paraId="79FE6CE7" w14:textId="77777777" w:rsidTr="00BA502A">
        <w:trPr>
          <w:trHeight w:val="1993"/>
        </w:trPr>
        <w:tc>
          <w:tcPr>
            <w:tcW w:w="981" w:type="pct"/>
          </w:tcPr>
          <w:p w14:paraId="58AC6245" w14:textId="77777777" w:rsidR="00FD30CF" w:rsidRPr="00FD30CF" w:rsidRDefault="00FD30CF" w:rsidP="00FD30CF">
            <w:pPr>
              <w:spacing w:line="240" w:lineRule="auto"/>
              <w:ind w:left="175" w:right="183"/>
              <w:rPr>
                <w:rFonts w:ascii="Century Gothic" w:hAnsi="Century Gothic"/>
                <w:color w:val="000000"/>
                <w:sz w:val="20"/>
                <w:szCs w:val="20"/>
              </w:rPr>
            </w:pPr>
            <w:r w:rsidRPr="00FD30CF">
              <w:rPr>
                <w:rFonts w:ascii="Century Gothic" w:hAnsi="Century Gothic"/>
                <w:sz w:val="20"/>
                <w:szCs w:val="20"/>
              </w:rPr>
              <w:t>Délais de soumission des rapports techniques</w:t>
            </w:r>
          </w:p>
        </w:tc>
        <w:tc>
          <w:tcPr>
            <w:tcW w:w="2776" w:type="pct"/>
          </w:tcPr>
          <w:p w14:paraId="6842DBFD" w14:textId="15D91776"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Établissement d'un calendrier prévisionnel des délais de dépôt des rapports par les constructeurs et l'IC (Réunion de démarrage)</w:t>
            </w:r>
          </w:p>
          <w:p w14:paraId="67FE5A77" w14:textId="63A218B4"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Suivi opérationnel permanent de la réalisation des activités</w:t>
            </w:r>
          </w:p>
          <w:p w14:paraId="23E1741A" w14:textId="0E274F89" w:rsidR="00FD30CF" w:rsidRPr="00FD30CF" w:rsidRDefault="00FD30CF" w:rsidP="00FD30CF">
            <w:pPr>
              <w:pStyle w:val="Pardeliste"/>
              <w:numPr>
                <w:ilvl w:val="0"/>
                <w:numId w:val="12"/>
              </w:numPr>
              <w:ind w:right="245"/>
              <w:rPr>
                <w:rFonts w:ascii="Century Gothic" w:hAnsi="Century Gothic"/>
                <w:sz w:val="20"/>
              </w:rPr>
            </w:pPr>
            <w:r w:rsidRPr="00FD30CF">
              <w:rPr>
                <w:rFonts w:ascii="Century Gothic" w:hAnsi="Century Gothic"/>
                <w:sz w:val="20"/>
              </w:rPr>
              <w:t>Définition et mise en œuvre de mesures d'arbitrage et coercitives le cas échéant en lien avec l'UGP.</w:t>
            </w:r>
          </w:p>
        </w:tc>
        <w:tc>
          <w:tcPr>
            <w:tcW w:w="621" w:type="pct"/>
          </w:tcPr>
          <w:p w14:paraId="1B2FE05D" w14:textId="77777777" w:rsidR="00FD30CF" w:rsidRPr="00FD30CF" w:rsidRDefault="00FD30CF" w:rsidP="00A22303">
            <w:pPr>
              <w:spacing w:line="360" w:lineRule="auto"/>
              <w:jc w:val="center"/>
              <w:rPr>
                <w:rFonts w:ascii="Century Gothic" w:hAnsi="Century Gothic"/>
                <w:sz w:val="20"/>
                <w:szCs w:val="20"/>
              </w:rPr>
            </w:pPr>
          </w:p>
          <w:p w14:paraId="16BF1E3D" w14:textId="77777777" w:rsidR="00FD30CF" w:rsidRPr="00FD30CF" w:rsidRDefault="00FD30CF" w:rsidP="00A22303">
            <w:pPr>
              <w:spacing w:line="360" w:lineRule="auto"/>
              <w:jc w:val="center"/>
              <w:rPr>
                <w:rFonts w:ascii="Century Gothic" w:hAnsi="Century Gothic"/>
                <w:color w:val="000000"/>
                <w:sz w:val="20"/>
                <w:szCs w:val="20"/>
              </w:rPr>
            </w:pPr>
            <w:r w:rsidRPr="00FD30CF">
              <w:rPr>
                <w:rFonts w:ascii="Century Gothic" w:hAnsi="Century Gothic"/>
                <w:sz w:val="20"/>
                <w:szCs w:val="20"/>
              </w:rPr>
              <w:t>Client / Prestataire</w:t>
            </w:r>
          </w:p>
        </w:tc>
        <w:tc>
          <w:tcPr>
            <w:tcW w:w="622" w:type="pct"/>
          </w:tcPr>
          <w:p w14:paraId="3CF7C474" w14:textId="77777777" w:rsidR="00FD30CF" w:rsidRPr="00FD30CF" w:rsidRDefault="00FD30CF" w:rsidP="00A22303">
            <w:pPr>
              <w:spacing w:line="360" w:lineRule="auto"/>
              <w:jc w:val="center"/>
              <w:rPr>
                <w:rFonts w:ascii="Century Gothic" w:hAnsi="Century Gothic"/>
                <w:sz w:val="20"/>
                <w:szCs w:val="20"/>
              </w:rPr>
            </w:pPr>
          </w:p>
          <w:p w14:paraId="08387C1F"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Substantiel</w:t>
            </w:r>
          </w:p>
        </w:tc>
      </w:tr>
      <w:tr w:rsidR="00FD30CF" w:rsidRPr="00FD30CF" w14:paraId="101B7624" w14:textId="77777777" w:rsidTr="00BA502A">
        <w:trPr>
          <w:trHeight w:val="1785"/>
        </w:trPr>
        <w:tc>
          <w:tcPr>
            <w:tcW w:w="981" w:type="pct"/>
          </w:tcPr>
          <w:p w14:paraId="30A4CA3D" w14:textId="77777777" w:rsidR="00FD30CF" w:rsidRPr="00FD30CF" w:rsidRDefault="00FD30CF" w:rsidP="00FD30CF">
            <w:pPr>
              <w:spacing w:line="240" w:lineRule="auto"/>
              <w:ind w:left="175" w:right="183"/>
              <w:rPr>
                <w:rFonts w:ascii="Century Gothic" w:hAnsi="Century Gothic"/>
                <w:color w:val="000000"/>
                <w:sz w:val="20"/>
                <w:szCs w:val="20"/>
              </w:rPr>
            </w:pPr>
            <w:r w:rsidRPr="00FD30CF">
              <w:rPr>
                <w:rFonts w:ascii="Century Gothic" w:hAnsi="Century Gothic"/>
                <w:color w:val="000000"/>
                <w:sz w:val="20"/>
                <w:szCs w:val="20"/>
              </w:rPr>
              <w:t>Qualité du DAOI</w:t>
            </w:r>
          </w:p>
        </w:tc>
        <w:tc>
          <w:tcPr>
            <w:tcW w:w="2776" w:type="pct"/>
          </w:tcPr>
          <w:p w14:paraId="3CEF446D" w14:textId="1A0B5FD2" w:rsidR="00FD30CF" w:rsidRPr="00FD30CF" w:rsidRDefault="00FD30CF" w:rsidP="00FD30CF">
            <w:pPr>
              <w:pStyle w:val="Pardeliste"/>
              <w:numPr>
                <w:ilvl w:val="0"/>
                <w:numId w:val="12"/>
              </w:numPr>
              <w:ind w:right="245"/>
              <w:rPr>
                <w:rFonts w:ascii="Century Gothic" w:hAnsi="Century Gothic"/>
                <w:color w:val="000000"/>
                <w:sz w:val="20"/>
              </w:rPr>
            </w:pPr>
            <w:r w:rsidRPr="00FD30CF">
              <w:rPr>
                <w:rFonts w:ascii="Century Gothic" w:hAnsi="Century Gothic"/>
                <w:color w:val="000000"/>
                <w:sz w:val="20"/>
              </w:rPr>
              <w:t>Réalisation des études préalables par un consultant qualifié en appui des équipes de l'UGP et des services bénéficiaires</w:t>
            </w:r>
          </w:p>
          <w:p w14:paraId="4220E144" w14:textId="0F2D06A0" w:rsidR="00FD30CF" w:rsidRPr="00FD30CF" w:rsidRDefault="00FD30CF" w:rsidP="00FD30CF">
            <w:pPr>
              <w:pStyle w:val="Pardeliste"/>
              <w:numPr>
                <w:ilvl w:val="0"/>
                <w:numId w:val="12"/>
              </w:numPr>
              <w:ind w:right="245"/>
              <w:rPr>
                <w:rFonts w:ascii="Century Gothic" w:hAnsi="Century Gothic"/>
                <w:color w:val="000000"/>
                <w:sz w:val="20"/>
              </w:rPr>
            </w:pPr>
            <w:r w:rsidRPr="00FD30CF">
              <w:rPr>
                <w:rFonts w:ascii="Century Gothic" w:hAnsi="Century Gothic"/>
                <w:color w:val="000000"/>
                <w:sz w:val="20"/>
              </w:rPr>
              <w:t>Définition précise et harmonisation des solutions techniques attendues</w:t>
            </w:r>
          </w:p>
          <w:p w14:paraId="026EB51D" w14:textId="50981B22" w:rsidR="00FD30CF" w:rsidRPr="00FD30CF" w:rsidRDefault="00FD30CF" w:rsidP="00FD30CF">
            <w:pPr>
              <w:pStyle w:val="Pardeliste"/>
              <w:numPr>
                <w:ilvl w:val="0"/>
                <w:numId w:val="12"/>
              </w:numPr>
              <w:ind w:right="245"/>
              <w:rPr>
                <w:rFonts w:ascii="Century Gothic" w:hAnsi="Century Gothic"/>
                <w:color w:val="000000"/>
                <w:sz w:val="20"/>
              </w:rPr>
            </w:pPr>
            <w:r w:rsidRPr="00FD30CF">
              <w:rPr>
                <w:rFonts w:ascii="Century Gothic" w:hAnsi="Century Gothic"/>
                <w:color w:val="000000"/>
                <w:sz w:val="20"/>
              </w:rPr>
              <w:t>Intégration des modalités de transfert de compétences vers l’exploitant</w:t>
            </w:r>
          </w:p>
        </w:tc>
        <w:tc>
          <w:tcPr>
            <w:tcW w:w="621" w:type="pct"/>
          </w:tcPr>
          <w:p w14:paraId="6C26D0FB" w14:textId="77777777" w:rsidR="00FD30CF" w:rsidRPr="00FD30CF" w:rsidRDefault="00FD30CF" w:rsidP="00A22303">
            <w:pPr>
              <w:spacing w:line="360" w:lineRule="auto"/>
              <w:jc w:val="center"/>
              <w:rPr>
                <w:rFonts w:ascii="Century Gothic" w:hAnsi="Century Gothic"/>
                <w:color w:val="000000"/>
                <w:sz w:val="20"/>
                <w:szCs w:val="20"/>
              </w:rPr>
            </w:pPr>
          </w:p>
          <w:p w14:paraId="282C16E9" w14:textId="77777777" w:rsidR="00FD30CF" w:rsidRPr="00FD30CF" w:rsidRDefault="00FD30CF" w:rsidP="00A22303">
            <w:pPr>
              <w:spacing w:line="360" w:lineRule="auto"/>
              <w:jc w:val="center"/>
              <w:rPr>
                <w:rFonts w:ascii="Century Gothic" w:hAnsi="Century Gothic"/>
                <w:color w:val="000000"/>
                <w:sz w:val="20"/>
                <w:szCs w:val="20"/>
              </w:rPr>
            </w:pPr>
            <w:r w:rsidRPr="00FD30CF">
              <w:rPr>
                <w:rFonts w:ascii="Century Gothic" w:hAnsi="Century Gothic"/>
                <w:color w:val="000000"/>
                <w:sz w:val="20"/>
                <w:szCs w:val="20"/>
              </w:rPr>
              <w:t>Client</w:t>
            </w:r>
          </w:p>
        </w:tc>
        <w:tc>
          <w:tcPr>
            <w:tcW w:w="622" w:type="pct"/>
          </w:tcPr>
          <w:p w14:paraId="3E77BE70" w14:textId="77777777" w:rsidR="00FD30CF" w:rsidRPr="00FD30CF" w:rsidRDefault="00FD30CF" w:rsidP="00A22303">
            <w:pPr>
              <w:spacing w:line="360" w:lineRule="auto"/>
              <w:jc w:val="center"/>
              <w:rPr>
                <w:rFonts w:ascii="Century Gothic" w:hAnsi="Century Gothic"/>
                <w:color w:val="000000"/>
                <w:sz w:val="20"/>
                <w:szCs w:val="20"/>
              </w:rPr>
            </w:pPr>
          </w:p>
          <w:p w14:paraId="12D1A7B5" w14:textId="77777777" w:rsidR="00FD30CF" w:rsidRPr="00FD30CF" w:rsidRDefault="00FD30CF" w:rsidP="00A22303">
            <w:pPr>
              <w:spacing w:line="360" w:lineRule="auto"/>
              <w:jc w:val="center"/>
              <w:rPr>
                <w:rFonts w:ascii="Century Gothic" w:hAnsi="Century Gothic"/>
                <w:color w:val="000000"/>
                <w:sz w:val="20"/>
                <w:szCs w:val="20"/>
              </w:rPr>
            </w:pPr>
            <w:r w:rsidRPr="00FD30CF">
              <w:rPr>
                <w:rFonts w:ascii="Century Gothic" w:hAnsi="Century Gothic"/>
                <w:sz w:val="20"/>
                <w:szCs w:val="20"/>
              </w:rPr>
              <w:t>Substantiel</w:t>
            </w:r>
          </w:p>
        </w:tc>
      </w:tr>
    </w:tbl>
    <w:p w14:paraId="37CA401A" w14:textId="77777777" w:rsidR="001968A4" w:rsidRPr="00A028ED" w:rsidRDefault="00A715C2" w:rsidP="00DE6EB5">
      <w:pPr>
        <w:spacing w:before="360"/>
        <w:jc w:val="both"/>
        <w:rPr>
          <w:rFonts w:ascii="Century Gothic" w:hAnsi="Century Gothic" w:cs="Times New Roman"/>
          <w:b/>
          <w:sz w:val="24"/>
          <w:szCs w:val="24"/>
        </w:rPr>
      </w:pPr>
      <w:r w:rsidRPr="00A028ED">
        <w:rPr>
          <w:rFonts w:ascii="Century Gothic" w:hAnsi="Century Gothic" w:cs="Times New Roman"/>
          <w:b/>
          <w:sz w:val="24"/>
          <w:szCs w:val="24"/>
        </w:rPr>
        <w:lastRenderedPageBreak/>
        <w:t>5. MODALITES DE PARTICIPATION</w:t>
      </w:r>
    </w:p>
    <w:p w14:paraId="650A01D4" w14:textId="40357B6A" w:rsidR="001968A4" w:rsidRPr="00A028ED" w:rsidRDefault="00A715C2" w:rsidP="00686DDA">
      <w:pPr>
        <w:jc w:val="both"/>
        <w:rPr>
          <w:rFonts w:ascii="Century Gothic" w:hAnsi="Century Gothic" w:cs="Times New Roman"/>
          <w:sz w:val="24"/>
          <w:szCs w:val="24"/>
        </w:rPr>
      </w:pPr>
      <w:r w:rsidRPr="00A028ED">
        <w:rPr>
          <w:rFonts w:ascii="Century Gothic" w:hAnsi="Century Gothic" w:cs="Times New Roman"/>
          <w:sz w:val="24"/>
          <w:szCs w:val="24"/>
        </w:rPr>
        <w:t xml:space="preserve">Les parties intéressées sont invitées à prendre part </w:t>
      </w:r>
      <w:r w:rsidR="001A2FFD">
        <w:rPr>
          <w:rFonts w:ascii="Century Gothic" w:hAnsi="Century Gothic" w:cs="Times New Roman"/>
          <w:sz w:val="24"/>
          <w:szCs w:val="24"/>
        </w:rPr>
        <w:t>à l’</w:t>
      </w:r>
      <w:r w:rsidRPr="00A028ED">
        <w:rPr>
          <w:rFonts w:ascii="Century Gothic" w:hAnsi="Century Gothic" w:cs="Times New Roman"/>
          <w:sz w:val="24"/>
          <w:szCs w:val="24"/>
        </w:rPr>
        <w:t>activité suivante :</w:t>
      </w:r>
    </w:p>
    <w:p w14:paraId="4BF520CB" w14:textId="02B79776" w:rsidR="001968A4" w:rsidRPr="00A028ED" w:rsidRDefault="00A715C2" w:rsidP="00686DDA">
      <w:pPr>
        <w:pStyle w:val="Par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 xml:space="preserve">Réunion de l’Engagement Précoce </w:t>
      </w:r>
      <w:r w:rsidR="00A066E7">
        <w:rPr>
          <w:rFonts w:ascii="Century Gothic" w:eastAsiaTheme="minorHAnsi" w:hAnsi="Century Gothic"/>
          <w:szCs w:val="24"/>
          <w:lang w:eastAsia="en-US"/>
        </w:rPr>
        <w:t>du</w:t>
      </w:r>
      <w:r w:rsidRPr="00A028ED">
        <w:rPr>
          <w:rFonts w:ascii="Century Gothic" w:eastAsiaTheme="minorHAnsi" w:hAnsi="Century Gothic"/>
          <w:szCs w:val="24"/>
          <w:lang w:eastAsia="en-US"/>
        </w:rPr>
        <w:t xml:space="preserve"> Marché </w:t>
      </w:r>
      <w:r w:rsidR="00A066E7">
        <w:rPr>
          <w:rFonts w:ascii="Century Gothic" w:eastAsiaTheme="minorHAnsi" w:hAnsi="Century Gothic"/>
          <w:szCs w:val="24"/>
          <w:lang w:eastAsia="en-US"/>
        </w:rPr>
        <w:t xml:space="preserve">des </w:t>
      </w:r>
      <w:r w:rsidR="00686DDA" w:rsidRPr="00A028ED">
        <w:rPr>
          <w:rFonts w:ascii="Century Gothic" w:hAnsi="Century Gothic"/>
        </w:rPr>
        <w:t xml:space="preserve">Travaux de </w:t>
      </w:r>
      <w:r w:rsidR="0013159D" w:rsidRPr="0049769A">
        <w:rPr>
          <w:rFonts w:ascii="Century Gothic" w:hAnsi="Century Gothic"/>
          <w:szCs w:val="22"/>
        </w:rPr>
        <w:t xml:space="preserve">réhabilitation, de renforcement et d’extension des réseaux de distribution électriques HTA et BT du centre urbain de </w:t>
      </w:r>
      <w:r w:rsidR="00DD629E">
        <w:rPr>
          <w:rFonts w:ascii="Century Gothic" w:hAnsi="Century Gothic"/>
          <w:szCs w:val="22"/>
        </w:rPr>
        <w:t xml:space="preserve">Kindia </w:t>
      </w:r>
      <w:r w:rsidR="0013159D" w:rsidRPr="0049769A">
        <w:rPr>
          <w:rFonts w:ascii="Century Gothic" w:hAnsi="Century Gothic"/>
          <w:szCs w:val="22"/>
        </w:rPr>
        <w:t>et l</w:t>
      </w:r>
      <w:r w:rsidR="00DD629E">
        <w:rPr>
          <w:rFonts w:ascii="Century Gothic" w:hAnsi="Century Gothic"/>
          <w:szCs w:val="22"/>
        </w:rPr>
        <w:t xml:space="preserve">a réhabilitation de la ligne </w:t>
      </w:r>
      <w:proofErr w:type="spellStart"/>
      <w:r w:rsidR="00DD629E">
        <w:rPr>
          <w:rFonts w:ascii="Century Gothic" w:hAnsi="Century Gothic"/>
          <w:szCs w:val="22"/>
        </w:rPr>
        <w:t>Donkéa</w:t>
      </w:r>
      <w:proofErr w:type="spellEnd"/>
      <w:r w:rsidR="00DD629E">
        <w:rPr>
          <w:rFonts w:ascii="Century Gothic" w:hAnsi="Century Gothic"/>
          <w:szCs w:val="22"/>
        </w:rPr>
        <w:t>-Kindia</w:t>
      </w:r>
      <w:r w:rsidR="0013159D">
        <w:rPr>
          <w:rFonts w:ascii="Century Gothic" w:hAnsi="Century Gothic"/>
          <w:szCs w:val="22"/>
        </w:rPr>
        <w:t>.</w:t>
      </w:r>
    </w:p>
    <w:p w14:paraId="15F7F27A" w14:textId="44E6F440" w:rsidR="001968A4" w:rsidRPr="00386FB7" w:rsidRDefault="00A715C2" w:rsidP="00437801">
      <w:pPr>
        <w:spacing w:line="278" w:lineRule="auto"/>
        <w:ind w:left="360"/>
        <w:outlineLvl w:val="0"/>
        <w:rPr>
          <w:rFonts w:ascii="Century Gothic" w:eastAsiaTheme="minorHAnsi" w:hAnsi="Century Gothic"/>
          <w:szCs w:val="24"/>
        </w:rPr>
      </w:pPr>
      <w:r w:rsidRPr="00386FB7">
        <w:rPr>
          <w:rFonts w:ascii="Century Gothic" w:eastAsiaTheme="minorHAnsi" w:hAnsi="Century Gothic"/>
          <w:szCs w:val="24"/>
        </w:rPr>
        <w:t xml:space="preserve">Date /heure : </w:t>
      </w:r>
      <w:r w:rsidR="00754CF0">
        <w:rPr>
          <w:rFonts w:ascii="Century Gothic" w:eastAsiaTheme="minorHAnsi" w:hAnsi="Century Gothic"/>
          <w:b/>
          <w:bCs/>
          <w:szCs w:val="24"/>
        </w:rPr>
        <w:t>2</w:t>
      </w:r>
      <w:r w:rsidR="00EA4DBB">
        <w:rPr>
          <w:rFonts w:ascii="Century Gothic" w:eastAsiaTheme="minorHAnsi" w:hAnsi="Century Gothic"/>
          <w:b/>
          <w:bCs/>
          <w:szCs w:val="24"/>
        </w:rPr>
        <w:t>1</w:t>
      </w:r>
      <w:r w:rsidR="00386FB7" w:rsidRPr="0013159D">
        <w:rPr>
          <w:rFonts w:ascii="Century Gothic" w:eastAsiaTheme="minorHAnsi" w:hAnsi="Century Gothic"/>
          <w:b/>
          <w:bCs/>
          <w:szCs w:val="24"/>
        </w:rPr>
        <w:t>/</w:t>
      </w:r>
      <w:r w:rsidR="000721D1">
        <w:rPr>
          <w:rFonts w:ascii="Century Gothic" w:eastAsiaTheme="minorHAnsi" w:hAnsi="Century Gothic"/>
          <w:b/>
          <w:bCs/>
          <w:szCs w:val="24"/>
        </w:rPr>
        <w:t>0</w:t>
      </w:r>
      <w:r w:rsidR="00754CF0">
        <w:rPr>
          <w:rFonts w:ascii="Century Gothic" w:eastAsiaTheme="minorHAnsi" w:hAnsi="Century Gothic"/>
          <w:b/>
          <w:bCs/>
          <w:szCs w:val="24"/>
        </w:rPr>
        <w:t>4</w:t>
      </w:r>
      <w:r w:rsidR="009A2E63" w:rsidRPr="0013159D">
        <w:rPr>
          <w:rFonts w:ascii="Century Gothic" w:eastAsiaTheme="minorHAnsi" w:hAnsi="Century Gothic"/>
          <w:b/>
          <w:bCs/>
          <w:szCs w:val="24"/>
        </w:rPr>
        <w:t>/202</w:t>
      </w:r>
      <w:r w:rsidR="000721D1">
        <w:rPr>
          <w:rFonts w:ascii="Century Gothic" w:eastAsiaTheme="minorHAnsi" w:hAnsi="Century Gothic"/>
          <w:b/>
          <w:bCs/>
          <w:szCs w:val="24"/>
        </w:rPr>
        <w:t>6</w:t>
      </w:r>
      <w:r w:rsidR="00142DAB" w:rsidRPr="0013159D">
        <w:rPr>
          <w:rFonts w:ascii="Century Gothic" w:eastAsiaTheme="minorHAnsi" w:hAnsi="Century Gothic"/>
          <w:b/>
          <w:bCs/>
          <w:szCs w:val="24"/>
        </w:rPr>
        <w:t xml:space="preserve"> à </w:t>
      </w:r>
      <w:r w:rsidR="00C866B1" w:rsidRPr="0013159D">
        <w:rPr>
          <w:rFonts w:ascii="Century Gothic" w:eastAsiaTheme="minorHAnsi" w:hAnsi="Century Gothic"/>
          <w:b/>
          <w:bCs/>
          <w:szCs w:val="24"/>
        </w:rPr>
        <w:t>1</w:t>
      </w:r>
      <w:r w:rsidR="00754CF0">
        <w:rPr>
          <w:rFonts w:ascii="Century Gothic" w:eastAsiaTheme="minorHAnsi" w:hAnsi="Century Gothic"/>
          <w:b/>
          <w:bCs/>
          <w:szCs w:val="24"/>
        </w:rPr>
        <w:t xml:space="preserve">1 </w:t>
      </w:r>
      <w:r w:rsidR="00142DAB" w:rsidRPr="0013159D">
        <w:rPr>
          <w:rFonts w:ascii="Century Gothic" w:eastAsiaTheme="minorHAnsi" w:hAnsi="Century Gothic"/>
          <w:b/>
          <w:bCs/>
          <w:szCs w:val="24"/>
        </w:rPr>
        <w:t>h</w:t>
      </w:r>
      <w:r w:rsidR="00754CF0">
        <w:rPr>
          <w:rFonts w:ascii="Century Gothic" w:eastAsiaTheme="minorHAnsi" w:hAnsi="Century Gothic"/>
          <w:b/>
          <w:bCs/>
          <w:szCs w:val="24"/>
        </w:rPr>
        <w:t xml:space="preserve"> </w:t>
      </w:r>
      <w:r w:rsidR="00142DAB" w:rsidRPr="0013159D">
        <w:rPr>
          <w:rFonts w:ascii="Century Gothic" w:eastAsiaTheme="minorHAnsi" w:hAnsi="Century Gothic"/>
          <w:b/>
          <w:bCs/>
          <w:szCs w:val="24"/>
        </w:rPr>
        <w:t>00</w:t>
      </w:r>
      <w:r w:rsidR="00386FB7" w:rsidRPr="0013159D">
        <w:rPr>
          <w:rFonts w:ascii="Century Gothic" w:eastAsiaTheme="minorHAnsi" w:hAnsi="Century Gothic"/>
          <w:b/>
          <w:bCs/>
          <w:szCs w:val="24"/>
        </w:rPr>
        <w:t xml:space="preserve"> </w:t>
      </w:r>
      <w:r w:rsidR="00386FB7" w:rsidRPr="008D0617">
        <w:rPr>
          <w:rFonts w:ascii="Century Gothic" w:eastAsiaTheme="minorHAnsi" w:hAnsi="Century Gothic"/>
          <w:b/>
          <w:bCs/>
          <w:szCs w:val="24"/>
        </w:rPr>
        <w:t>GMT</w:t>
      </w:r>
      <w:r w:rsidR="00142DAB" w:rsidRPr="00386FB7">
        <w:rPr>
          <w:rFonts w:ascii="Century Gothic" w:eastAsiaTheme="minorHAnsi" w:hAnsi="Century Gothic"/>
          <w:szCs w:val="24"/>
        </w:rPr>
        <w:t> ;</w:t>
      </w:r>
    </w:p>
    <w:p w14:paraId="7EA1FC2D" w14:textId="34C91FBB" w:rsidR="00386FB7" w:rsidRDefault="00386FB7" w:rsidP="00686DDA">
      <w:pPr>
        <w:pStyle w:val="Par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Format</w:t>
      </w:r>
      <w:r>
        <w:rPr>
          <w:rFonts w:ascii="Century Gothic" w:eastAsiaTheme="minorHAnsi" w:hAnsi="Century Gothic"/>
          <w:szCs w:val="24"/>
          <w:lang w:eastAsia="en-US"/>
        </w:rPr>
        <w:t xml:space="preserve"> Hybride</w:t>
      </w:r>
      <w:r w:rsidRPr="00A028ED">
        <w:rPr>
          <w:rFonts w:ascii="Century Gothic" w:eastAsiaTheme="minorHAnsi" w:hAnsi="Century Gothic"/>
          <w:szCs w:val="24"/>
          <w:lang w:eastAsia="en-US"/>
        </w:rPr>
        <w:t xml:space="preserve"> (présentiel</w:t>
      </w:r>
      <w:r w:rsidR="00DF53EF">
        <w:rPr>
          <w:rFonts w:ascii="Century Gothic" w:eastAsiaTheme="minorHAnsi" w:hAnsi="Century Gothic"/>
          <w:szCs w:val="24"/>
          <w:lang w:eastAsia="en-US"/>
        </w:rPr>
        <w:t>/virtuel</w:t>
      </w:r>
      <w:r w:rsidRPr="00A028ED">
        <w:rPr>
          <w:rFonts w:ascii="Century Gothic" w:eastAsiaTheme="minorHAnsi" w:hAnsi="Century Gothic"/>
          <w:szCs w:val="24"/>
          <w:lang w:eastAsia="en-US"/>
        </w:rPr>
        <w:t>)</w:t>
      </w:r>
    </w:p>
    <w:p w14:paraId="66BE8830" w14:textId="7FAB858C" w:rsidR="0013159D" w:rsidRDefault="00A715C2" w:rsidP="00686DDA">
      <w:pPr>
        <w:pStyle w:val="Par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Lieu :</w:t>
      </w:r>
      <w:r w:rsidR="000A54A4" w:rsidRPr="00A028ED">
        <w:rPr>
          <w:rFonts w:ascii="Century Gothic" w:eastAsiaTheme="minorHAnsi" w:hAnsi="Century Gothic"/>
          <w:szCs w:val="24"/>
          <w:lang w:eastAsia="en-US"/>
        </w:rPr>
        <w:t xml:space="preserve"> </w:t>
      </w:r>
      <w:r w:rsidR="00BA502A">
        <w:rPr>
          <w:rFonts w:ascii="Century Gothic" w:eastAsiaTheme="minorHAnsi" w:hAnsi="Century Gothic"/>
          <w:szCs w:val="24"/>
          <w:lang w:eastAsia="en-US"/>
        </w:rPr>
        <w:t>Bureau Banque Mondiale à Kaloum, Immeuble SONOCO (Conakry)</w:t>
      </w:r>
    </w:p>
    <w:p w14:paraId="641DE6EB" w14:textId="50A1947A" w:rsidR="001968A4" w:rsidRPr="00A028ED" w:rsidRDefault="00386FB7" w:rsidP="00686DDA">
      <w:pPr>
        <w:pStyle w:val="Par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 xml:space="preserve">Tél.+(224) </w:t>
      </w:r>
      <w:r w:rsidR="0013159D">
        <w:rPr>
          <w:rFonts w:ascii="Century Gothic" w:eastAsiaTheme="minorHAnsi" w:hAnsi="Century Gothic"/>
          <w:szCs w:val="24"/>
          <w:lang w:eastAsia="en-US"/>
        </w:rPr>
        <w:t>628 27 16 77</w:t>
      </w:r>
      <w:r w:rsidRPr="00A028ED">
        <w:rPr>
          <w:rFonts w:ascii="Century Gothic" w:eastAsiaTheme="minorHAnsi" w:hAnsi="Century Gothic"/>
          <w:szCs w:val="24"/>
          <w:lang w:eastAsia="en-US"/>
        </w:rPr>
        <w:t>/</w:t>
      </w:r>
      <w:r w:rsidR="00FD30CF">
        <w:rPr>
          <w:rFonts w:ascii="Century Gothic" w:eastAsiaTheme="minorHAnsi" w:hAnsi="Century Gothic"/>
          <w:szCs w:val="24"/>
          <w:lang w:eastAsia="en-US"/>
        </w:rPr>
        <w:t>622 622 140</w:t>
      </w:r>
    </w:p>
    <w:p w14:paraId="5A8F3B1E" w14:textId="4673D705" w:rsidR="00386FB7" w:rsidRDefault="00386FB7" w:rsidP="00437801">
      <w:pPr>
        <w:pStyle w:val="Pardeliste"/>
        <w:spacing w:after="160" w:line="278" w:lineRule="auto"/>
        <w:ind w:firstLine="0"/>
        <w:outlineLvl w:val="0"/>
      </w:pPr>
      <w:r w:rsidRPr="00611020">
        <w:rPr>
          <w:rFonts w:ascii="Century Gothic" w:eastAsiaTheme="minorHAnsi" w:hAnsi="Century Gothic"/>
          <w:szCs w:val="24"/>
          <w:lang w:eastAsia="en-US"/>
        </w:rPr>
        <w:t>E</w:t>
      </w:r>
      <w:r w:rsidR="00275ED6" w:rsidRPr="00611020">
        <w:rPr>
          <w:rFonts w:ascii="Century Gothic" w:eastAsiaTheme="minorHAnsi" w:hAnsi="Century Gothic"/>
          <w:szCs w:val="24"/>
          <w:lang w:eastAsia="en-US"/>
        </w:rPr>
        <w:t>mail</w:t>
      </w:r>
      <w:r w:rsidRPr="00611020">
        <w:rPr>
          <w:rFonts w:ascii="Century Gothic" w:eastAsiaTheme="minorHAnsi" w:hAnsi="Century Gothic"/>
          <w:szCs w:val="24"/>
          <w:lang w:eastAsia="en-US"/>
        </w:rPr>
        <w:t> :</w:t>
      </w:r>
      <w:r w:rsidR="0013159D">
        <w:rPr>
          <w:rFonts w:ascii="Century Gothic" w:eastAsiaTheme="minorHAnsi" w:hAnsi="Century Gothic"/>
          <w:szCs w:val="24"/>
          <w:lang w:eastAsia="en-US"/>
        </w:rPr>
        <w:t xml:space="preserve"> </w:t>
      </w:r>
      <w:hyperlink r:id="rId7" w:history="1">
        <w:r w:rsidR="0032730A" w:rsidRPr="00D64F57">
          <w:rPr>
            <w:rStyle w:val="Lienhypertexte"/>
            <w:rFonts w:ascii="Century Gothic" w:eastAsiaTheme="minorHAnsi" w:hAnsi="Century Gothic"/>
            <w:szCs w:val="24"/>
            <w:lang w:eastAsia="en-US"/>
          </w:rPr>
          <w:t>procurmentpaaeg2edg2025@gmail.com</w:t>
        </w:r>
      </w:hyperlink>
      <w:r w:rsidR="0013159D">
        <w:rPr>
          <w:rFonts w:ascii="Century Gothic" w:eastAsiaTheme="minorHAnsi" w:hAnsi="Century Gothic"/>
          <w:szCs w:val="24"/>
          <w:lang w:eastAsia="en-US"/>
        </w:rPr>
        <w:t xml:space="preserve"> / </w:t>
      </w:r>
      <w:hyperlink r:id="rId8" w:history="1">
        <w:r w:rsidR="0013159D" w:rsidRPr="0015079A">
          <w:rPr>
            <w:rStyle w:val="Lienhypertexte"/>
            <w:rFonts w:ascii="Century Gothic" w:eastAsiaTheme="minorHAnsi" w:hAnsi="Century Gothic"/>
            <w:szCs w:val="24"/>
            <w:lang w:eastAsia="en-US"/>
          </w:rPr>
          <w:t>scbah@yahoo.fr</w:t>
        </w:r>
      </w:hyperlink>
      <w:r w:rsidR="0013159D">
        <w:rPr>
          <w:rFonts w:ascii="Century Gothic" w:eastAsiaTheme="minorHAnsi" w:hAnsi="Century Gothic"/>
          <w:szCs w:val="24"/>
          <w:lang w:eastAsia="en-US"/>
        </w:rPr>
        <w:t xml:space="preserve"> </w:t>
      </w:r>
      <w:r w:rsidR="0013159D">
        <w:t xml:space="preserve"> </w:t>
      </w:r>
    </w:p>
    <w:p w14:paraId="74EA51D0" w14:textId="64DAA07D" w:rsidR="00CC056D" w:rsidRPr="00BD08C1" w:rsidRDefault="00611020" w:rsidP="00611020">
      <w:pPr>
        <w:pStyle w:val="Pardeliste"/>
        <w:spacing w:after="160" w:line="278" w:lineRule="auto"/>
        <w:ind w:left="0" w:firstLine="0"/>
        <w:rPr>
          <w:rFonts w:ascii="Century Gothic" w:eastAsiaTheme="minorHAnsi" w:hAnsi="Century Gothic"/>
          <w:b/>
          <w:bCs/>
          <w:szCs w:val="24"/>
          <w:lang w:eastAsia="en-US"/>
        </w:rPr>
      </w:pPr>
      <w:r w:rsidRPr="00BD08C1">
        <w:rPr>
          <w:rFonts w:ascii="Century Gothic" w:eastAsiaTheme="minorHAnsi" w:hAnsi="Century Gothic"/>
          <w:b/>
          <w:bCs/>
          <w:szCs w:val="24"/>
          <w:lang w:eastAsia="en-US"/>
        </w:rPr>
        <w:t>P</w:t>
      </w:r>
      <w:r w:rsidR="00903D37" w:rsidRPr="00BD08C1">
        <w:rPr>
          <w:rFonts w:ascii="Century Gothic" w:eastAsiaTheme="minorHAnsi" w:hAnsi="Century Gothic"/>
          <w:b/>
          <w:bCs/>
          <w:szCs w:val="24"/>
          <w:lang w:eastAsia="en-US"/>
        </w:rPr>
        <w:t>our les entreprises qui souhaitent participer en ligne</w:t>
      </w:r>
      <w:r w:rsidR="00386FB7" w:rsidRPr="00BD08C1">
        <w:rPr>
          <w:rFonts w:ascii="Century Gothic" w:eastAsiaTheme="minorHAnsi" w:hAnsi="Century Gothic"/>
          <w:b/>
          <w:bCs/>
          <w:szCs w:val="24"/>
          <w:lang w:eastAsia="en-US"/>
        </w:rPr>
        <w:t xml:space="preserve">, veuillez </w:t>
      </w:r>
      <w:r w:rsidR="00CC056D" w:rsidRPr="00BD08C1">
        <w:rPr>
          <w:rFonts w:ascii="Century Gothic" w:eastAsiaTheme="minorHAnsi" w:hAnsi="Century Gothic"/>
          <w:b/>
          <w:bCs/>
          <w:szCs w:val="24"/>
          <w:lang w:eastAsia="en-US"/>
        </w:rPr>
        <w:t xml:space="preserve">visiter le site web de la Société </w:t>
      </w:r>
      <w:r w:rsidR="0013159D" w:rsidRPr="00BD08C1">
        <w:rPr>
          <w:rFonts w:ascii="Century Gothic" w:eastAsiaTheme="minorHAnsi" w:hAnsi="Century Gothic"/>
          <w:b/>
          <w:bCs/>
          <w:szCs w:val="24"/>
          <w:lang w:eastAsia="en-US"/>
        </w:rPr>
        <w:t>Electricité</w:t>
      </w:r>
      <w:r w:rsidR="00CC056D" w:rsidRPr="00BD08C1">
        <w:rPr>
          <w:rFonts w:ascii="Century Gothic" w:eastAsiaTheme="minorHAnsi" w:hAnsi="Century Gothic"/>
          <w:b/>
          <w:bCs/>
          <w:szCs w:val="24"/>
          <w:lang w:eastAsia="en-US"/>
        </w:rPr>
        <w:t xml:space="preserve"> de Guinée (E</w:t>
      </w:r>
      <w:r w:rsidR="00930713" w:rsidRPr="00BD08C1">
        <w:rPr>
          <w:rFonts w:ascii="Century Gothic" w:eastAsiaTheme="minorHAnsi" w:hAnsi="Century Gothic"/>
          <w:b/>
          <w:bCs/>
          <w:szCs w:val="24"/>
          <w:lang w:eastAsia="en-US"/>
        </w:rPr>
        <w:t>D</w:t>
      </w:r>
      <w:r w:rsidR="00CC056D" w:rsidRPr="00BD08C1">
        <w:rPr>
          <w:rFonts w:ascii="Century Gothic" w:eastAsiaTheme="minorHAnsi" w:hAnsi="Century Gothic"/>
          <w:b/>
          <w:bCs/>
          <w:szCs w:val="24"/>
          <w:lang w:eastAsia="en-US"/>
        </w:rPr>
        <w:t>G S</w:t>
      </w:r>
      <w:r w:rsidR="008D0617" w:rsidRPr="00BD08C1">
        <w:rPr>
          <w:rFonts w:ascii="Century Gothic" w:eastAsiaTheme="minorHAnsi" w:hAnsi="Century Gothic"/>
          <w:b/>
          <w:bCs/>
          <w:szCs w:val="24"/>
          <w:lang w:eastAsia="en-US"/>
        </w:rPr>
        <w:t>.</w:t>
      </w:r>
      <w:r w:rsidR="00CC056D" w:rsidRPr="00BD08C1">
        <w:rPr>
          <w:rFonts w:ascii="Century Gothic" w:eastAsiaTheme="minorHAnsi" w:hAnsi="Century Gothic"/>
          <w:b/>
          <w:bCs/>
          <w:szCs w:val="24"/>
          <w:lang w:eastAsia="en-US"/>
        </w:rPr>
        <w:t xml:space="preserve">A) : </w:t>
      </w:r>
      <w:bookmarkStart w:id="0" w:name="_Hlk206436207"/>
      <w:r w:rsidR="00072F89" w:rsidRPr="00BD08C1">
        <w:rPr>
          <w:rFonts w:eastAsiaTheme="minorHAnsi"/>
          <w:b/>
          <w:bCs/>
          <w:sz w:val="28"/>
          <w:szCs w:val="28"/>
        </w:rPr>
        <w:fldChar w:fldCharType="begin"/>
      </w:r>
      <w:r w:rsidR="00072F89" w:rsidRPr="00BD08C1">
        <w:rPr>
          <w:rFonts w:eastAsiaTheme="minorHAnsi"/>
          <w:b/>
          <w:bCs/>
          <w:sz w:val="28"/>
          <w:szCs w:val="28"/>
        </w:rPr>
        <w:instrText xml:space="preserve"> HYPERLINK "https://edg.com.</w:instrText>
      </w:r>
      <w:r w:rsidR="00072F89" w:rsidRPr="00BD08C1">
        <w:rPr>
          <w:rFonts w:ascii="Century Gothic" w:eastAsiaTheme="minorHAnsi" w:hAnsi="Century Gothic"/>
          <w:b/>
          <w:bCs/>
          <w:sz w:val="28"/>
          <w:szCs w:val="28"/>
          <w:lang w:eastAsia="en-US"/>
        </w:rPr>
        <w:instrText>gn</w:instrText>
      </w:r>
      <w:r w:rsidR="00072F89" w:rsidRPr="00BD08C1">
        <w:rPr>
          <w:rFonts w:eastAsiaTheme="minorHAnsi"/>
          <w:b/>
          <w:bCs/>
          <w:sz w:val="28"/>
          <w:szCs w:val="28"/>
        </w:rPr>
        <w:instrText xml:space="preserve">" </w:instrText>
      </w:r>
      <w:r w:rsidR="00072F89" w:rsidRPr="00BD08C1">
        <w:rPr>
          <w:rFonts w:eastAsiaTheme="minorHAnsi"/>
          <w:b/>
          <w:bCs/>
          <w:sz w:val="28"/>
          <w:szCs w:val="28"/>
        </w:rPr>
        <w:fldChar w:fldCharType="separate"/>
      </w:r>
      <w:r w:rsidR="00072F89" w:rsidRPr="00BD08C1">
        <w:rPr>
          <w:rStyle w:val="Lienhypertexte"/>
          <w:rFonts w:eastAsiaTheme="minorHAnsi"/>
          <w:b/>
          <w:bCs/>
          <w:sz w:val="28"/>
          <w:szCs w:val="28"/>
        </w:rPr>
        <w:t>https://edg.com</w:t>
      </w:r>
      <w:bookmarkEnd w:id="0"/>
      <w:r w:rsidR="00072F89" w:rsidRPr="00BD08C1">
        <w:rPr>
          <w:rStyle w:val="Lienhypertexte"/>
          <w:rFonts w:eastAsiaTheme="minorHAnsi"/>
          <w:b/>
          <w:bCs/>
          <w:sz w:val="28"/>
          <w:szCs w:val="28"/>
        </w:rPr>
        <w:t>.</w:t>
      </w:r>
      <w:r w:rsidR="00072F89" w:rsidRPr="00BD08C1">
        <w:rPr>
          <w:rStyle w:val="Lienhypertexte"/>
          <w:rFonts w:ascii="Century Gothic" w:eastAsiaTheme="minorHAnsi" w:hAnsi="Century Gothic"/>
          <w:b/>
          <w:bCs/>
          <w:sz w:val="28"/>
          <w:szCs w:val="28"/>
          <w:lang w:eastAsia="en-US"/>
        </w:rPr>
        <w:t>gn</w:t>
      </w:r>
      <w:r w:rsidR="00072F89" w:rsidRPr="00BD08C1">
        <w:rPr>
          <w:rFonts w:eastAsiaTheme="minorHAnsi"/>
          <w:b/>
          <w:bCs/>
          <w:sz w:val="28"/>
          <w:szCs w:val="28"/>
        </w:rPr>
        <w:fldChar w:fldCharType="end"/>
      </w:r>
      <w:r w:rsidR="00072F89" w:rsidRPr="00BD08C1">
        <w:rPr>
          <w:rFonts w:ascii="Century Gothic" w:eastAsiaTheme="minorHAnsi" w:hAnsi="Century Gothic"/>
          <w:b/>
          <w:bCs/>
          <w:szCs w:val="24"/>
          <w:lang w:eastAsia="en-US"/>
        </w:rPr>
        <w:t xml:space="preserve"> en cliquant successivement sur les onglets « Contactez-nous, Appel d’offre, Avis d’engagement précoce de marché, Particip</w:t>
      </w:r>
      <w:r w:rsidR="008E48E7" w:rsidRPr="00BD08C1">
        <w:rPr>
          <w:rFonts w:ascii="Century Gothic" w:eastAsiaTheme="minorHAnsi" w:hAnsi="Century Gothic"/>
          <w:b/>
          <w:bCs/>
          <w:szCs w:val="24"/>
          <w:lang w:eastAsia="en-US"/>
        </w:rPr>
        <w:t>er</w:t>
      </w:r>
      <w:r w:rsidR="00072F89" w:rsidRPr="00BD08C1">
        <w:rPr>
          <w:rFonts w:ascii="Century Gothic" w:eastAsiaTheme="minorHAnsi" w:hAnsi="Century Gothic"/>
          <w:b/>
          <w:bCs/>
          <w:szCs w:val="24"/>
          <w:lang w:eastAsia="en-US"/>
        </w:rPr>
        <w:t xml:space="preserve"> à la réunion d’engagement du marché </w:t>
      </w:r>
      <w:r w:rsidR="00DD629E">
        <w:rPr>
          <w:rFonts w:ascii="Century Gothic" w:eastAsiaTheme="minorHAnsi" w:hAnsi="Century Gothic"/>
          <w:b/>
          <w:bCs/>
          <w:szCs w:val="24"/>
          <w:lang w:eastAsia="en-US"/>
        </w:rPr>
        <w:t xml:space="preserve">de Kindia </w:t>
      </w:r>
      <w:r w:rsidR="00072F89" w:rsidRPr="00BD08C1">
        <w:rPr>
          <w:rFonts w:ascii="Century Gothic" w:eastAsiaTheme="minorHAnsi" w:hAnsi="Century Gothic"/>
          <w:b/>
          <w:bCs/>
          <w:szCs w:val="24"/>
          <w:lang w:eastAsia="en-US"/>
        </w:rPr>
        <w:t>et Inscrivez-vous dès maintenant ».</w:t>
      </w:r>
    </w:p>
    <w:p w14:paraId="6949CA67" w14:textId="77777777" w:rsidR="001968A4" w:rsidRPr="00A028ED" w:rsidRDefault="00A715C2" w:rsidP="00437801">
      <w:pPr>
        <w:spacing w:before="240" w:after="240"/>
        <w:jc w:val="both"/>
        <w:outlineLvl w:val="0"/>
        <w:rPr>
          <w:rFonts w:ascii="Century Gothic" w:hAnsi="Century Gothic" w:cs="Times New Roman"/>
          <w:b/>
          <w:sz w:val="24"/>
          <w:szCs w:val="24"/>
        </w:rPr>
      </w:pPr>
      <w:r w:rsidRPr="00A028ED">
        <w:rPr>
          <w:rFonts w:ascii="Century Gothic" w:hAnsi="Century Gothic" w:cs="Times New Roman"/>
          <w:b/>
          <w:sz w:val="24"/>
          <w:szCs w:val="24"/>
        </w:rPr>
        <w:t>5. Prochaines étapes</w:t>
      </w:r>
    </w:p>
    <w:p w14:paraId="4EE6CBA0" w14:textId="60693CCE" w:rsidR="001968A4" w:rsidRPr="00A028ED" w:rsidRDefault="00A715C2" w:rsidP="00F31E1B">
      <w:pPr>
        <w:spacing w:before="120" w:after="120"/>
        <w:jc w:val="both"/>
        <w:rPr>
          <w:rFonts w:ascii="Century Gothic" w:hAnsi="Century Gothic" w:cs="Times New Roman"/>
          <w:sz w:val="24"/>
          <w:szCs w:val="24"/>
        </w:rPr>
      </w:pPr>
      <w:r w:rsidRPr="00A028ED">
        <w:rPr>
          <w:rFonts w:ascii="Century Gothic" w:hAnsi="Century Gothic" w:cs="Times New Roman"/>
          <w:sz w:val="24"/>
          <w:szCs w:val="24"/>
        </w:rPr>
        <w:t xml:space="preserve">Les informations recueillies permettront à la </w:t>
      </w:r>
      <w:r w:rsidR="00F31E1B" w:rsidRPr="00A028ED">
        <w:rPr>
          <w:rFonts w:ascii="Century Gothic" w:hAnsi="Century Gothic" w:cs="Times New Roman"/>
          <w:sz w:val="24"/>
          <w:szCs w:val="24"/>
        </w:rPr>
        <w:t>S</w:t>
      </w:r>
      <w:r w:rsidR="00930713">
        <w:rPr>
          <w:rFonts w:ascii="Century Gothic" w:hAnsi="Century Gothic" w:cs="Times New Roman"/>
          <w:sz w:val="24"/>
          <w:szCs w:val="24"/>
        </w:rPr>
        <w:t xml:space="preserve">ociété </w:t>
      </w:r>
      <w:r w:rsidR="00F31E1B" w:rsidRPr="00A028ED">
        <w:rPr>
          <w:rFonts w:ascii="Century Gothic" w:hAnsi="Century Gothic" w:cs="Times New Roman"/>
          <w:sz w:val="24"/>
          <w:szCs w:val="24"/>
        </w:rPr>
        <w:t>E</w:t>
      </w:r>
      <w:r w:rsidR="00930713">
        <w:rPr>
          <w:rFonts w:ascii="Century Gothic" w:hAnsi="Century Gothic" w:cs="Times New Roman"/>
          <w:sz w:val="24"/>
          <w:szCs w:val="24"/>
        </w:rPr>
        <w:t>D</w:t>
      </w:r>
      <w:r w:rsidR="00F31E1B" w:rsidRPr="00A028ED">
        <w:rPr>
          <w:rFonts w:ascii="Century Gothic" w:hAnsi="Century Gothic" w:cs="Times New Roman"/>
          <w:sz w:val="24"/>
          <w:szCs w:val="24"/>
        </w:rPr>
        <w:t>G</w:t>
      </w:r>
      <w:r w:rsidRPr="00A028ED">
        <w:rPr>
          <w:rFonts w:ascii="Century Gothic" w:hAnsi="Century Gothic" w:cs="Times New Roman"/>
          <w:sz w:val="24"/>
          <w:szCs w:val="24"/>
        </w:rPr>
        <w:t xml:space="preserve">-SA d’affiner les modalités du projet et d’adapter la stratégie </w:t>
      </w:r>
      <w:r w:rsidR="00BA502A" w:rsidRPr="00A028ED">
        <w:rPr>
          <w:rFonts w:ascii="Century Gothic" w:hAnsi="Century Gothic" w:cs="Times New Roman"/>
          <w:sz w:val="24"/>
          <w:szCs w:val="24"/>
        </w:rPr>
        <w:t>d’a</w:t>
      </w:r>
      <w:r w:rsidR="00BA502A">
        <w:rPr>
          <w:rFonts w:ascii="Century Gothic" w:hAnsi="Century Gothic" w:cs="Times New Roman"/>
          <w:sz w:val="24"/>
          <w:szCs w:val="24"/>
        </w:rPr>
        <w:t>cquisition.</w:t>
      </w:r>
      <w:r w:rsidRPr="00A028ED">
        <w:rPr>
          <w:rFonts w:ascii="Century Gothic" w:hAnsi="Century Gothic" w:cs="Times New Roman"/>
          <w:sz w:val="24"/>
          <w:szCs w:val="24"/>
        </w:rPr>
        <w:t xml:space="preserve"> Toute procédure formelle de passation de marché ultérieure sera communiquée par les canaux officiels.</w:t>
      </w:r>
    </w:p>
    <w:p w14:paraId="5251F198" w14:textId="508A744E" w:rsidR="001968A4" w:rsidRPr="00A028ED" w:rsidRDefault="00611020" w:rsidP="00437801">
      <w:pPr>
        <w:spacing w:before="240" w:after="240"/>
        <w:jc w:val="both"/>
        <w:outlineLvl w:val="0"/>
        <w:rPr>
          <w:rFonts w:ascii="Century Gothic" w:hAnsi="Century Gothic" w:cs="Times New Roman"/>
          <w:b/>
          <w:sz w:val="24"/>
          <w:szCs w:val="24"/>
        </w:rPr>
      </w:pPr>
      <w:r>
        <w:rPr>
          <w:rFonts w:ascii="Century Gothic" w:hAnsi="Century Gothic" w:cs="Times New Roman"/>
          <w:b/>
          <w:sz w:val="24"/>
          <w:szCs w:val="24"/>
        </w:rPr>
        <w:t>6</w:t>
      </w:r>
      <w:r w:rsidR="00A715C2" w:rsidRPr="00A028ED">
        <w:rPr>
          <w:rFonts w:ascii="Century Gothic" w:hAnsi="Century Gothic" w:cs="Times New Roman"/>
          <w:b/>
          <w:sz w:val="24"/>
          <w:szCs w:val="24"/>
        </w:rPr>
        <w:t>. Remarques Importantes</w:t>
      </w:r>
    </w:p>
    <w:p w14:paraId="2CAE3148" w14:textId="77777777" w:rsidR="001968A4" w:rsidRPr="00A028ED" w:rsidRDefault="00A715C2" w:rsidP="00F31E1B">
      <w:pPr>
        <w:spacing w:before="120" w:after="120" w:line="240" w:lineRule="auto"/>
        <w:jc w:val="both"/>
        <w:rPr>
          <w:rFonts w:ascii="Century Gothic" w:eastAsia="Times New Roman" w:hAnsi="Century Gothic" w:cs="Times New Roman"/>
          <w:sz w:val="24"/>
          <w:szCs w:val="24"/>
        </w:rPr>
      </w:pPr>
      <w:r w:rsidRPr="00A028ED">
        <w:rPr>
          <w:rFonts w:ascii="Century Gothic" w:eastAsia="Times New Roman" w:hAnsi="Century Gothic" w:cs="Times New Roman"/>
          <w:sz w:val="24"/>
          <w:szCs w:val="24"/>
        </w:rPr>
        <w:t>La participation à cet engagement précoce du marché ne confère aucun avantage lors du processus de sélection à venir.</w:t>
      </w:r>
    </w:p>
    <w:p w14:paraId="31A56190" w14:textId="61D4D69C" w:rsidR="001968A4" w:rsidRPr="00A028ED" w:rsidRDefault="00A715C2" w:rsidP="00F31E1B">
      <w:pPr>
        <w:spacing w:before="120" w:after="120" w:line="240" w:lineRule="auto"/>
        <w:jc w:val="both"/>
        <w:rPr>
          <w:rFonts w:ascii="Century Gothic" w:eastAsia="Times New Roman" w:hAnsi="Century Gothic" w:cs="Times New Roman"/>
          <w:sz w:val="24"/>
          <w:szCs w:val="24"/>
        </w:rPr>
      </w:pPr>
      <w:r w:rsidRPr="00A028ED">
        <w:rPr>
          <w:rFonts w:ascii="Century Gothic" w:eastAsia="Times New Roman" w:hAnsi="Century Gothic" w:cs="Times New Roman"/>
          <w:sz w:val="24"/>
          <w:szCs w:val="24"/>
        </w:rPr>
        <w:t xml:space="preserve">Il ne s'agit pas d'un appel d'offres ni d'un exercice de </w:t>
      </w:r>
      <w:r w:rsidR="007524F2" w:rsidRPr="00A028ED">
        <w:rPr>
          <w:rFonts w:ascii="Century Gothic" w:eastAsia="Times New Roman" w:hAnsi="Century Gothic" w:cs="Times New Roman"/>
          <w:sz w:val="24"/>
          <w:szCs w:val="24"/>
        </w:rPr>
        <w:t>préqualification</w:t>
      </w:r>
      <w:r w:rsidRPr="00A028ED">
        <w:rPr>
          <w:rFonts w:ascii="Century Gothic" w:eastAsia="Times New Roman" w:hAnsi="Century Gothic" w:cs="Times New Roman"/>
          <w:sz w:val="24"/>
          <w:szCs w:val="24"/>
        </w:rPr>
        <w:t>.</w:t>
      </w:r>
    </w:p>
    <w:p w14:paraId="309C92F3" w14:textId="77777777" w:rsidR="001968A4" w:rsidRPr="00A028ED" w:rsidRDefault="00A715C2" w:rsidP="00F31E1B">
      <w:pPr>
        <w:spacing w:before="120" w:after="120" w:line="240" w:lineRule="auto"/>
        <w:jc w:val="both"/>
        <w:rPr>
          <w:rFonts w:ascii="Century Gothic" w:eastAsia="Times New Roman" w:hAnsi="Century Gothic" w:cs="Times New Roman"/>
          <w:sz w:val="24"/>
          <w:szCs w:val="24"/>
        </w:rPr>
      </w:pPr>
      <w:r w:rsidRPr="00A028ED">
        <w:rPr>
          <w:rFonts w:ascii="Century Gothic" w:eastAsia="Times New Roman" w:hAnsi="Century Gothic" w:cs="Times New Roman"/>
          <w:sz w:val="24"/>
          <w:szCs w:val="24"/>
        </w:rPr>
        <w:t>Toutes les informations reçues seront traitées de manière confidentielle et utilisées uniquement pour l'analyse du marché, la planification et l’optimisation des travaux objet du marché.</w:t>
      </w:r>
    </w:p>
    <w:p w14:paraId="7D741ECF" w14:textId="77777777" w:rsidR="001968A4" w:rsidRPr="00A028ED" w:rsidRDefault="00A715C2" w:rsidP="00686DDA">
      <w:pPr>
        <w:jc w:val="both"/>
        <w:rPr>
          <w:rFonts w:ascii="Century Gothic" w:hAnsi="Century Gothic" w:cs="Times New Roman"/>
          <w:sz w:val="24"/>
          <w:szCs w:val="24"/>
        </w:rPr>
      </w:pPr>
      <w:r w:rsidRPr="00A028ED">
        <w:rPr>
          <w:rFonts w:ascii="Century Gothic" w:hAnsi="Century Gothic" w:cs="Times New Roman"/>
          <w:sz w:val="24"/>
          <w:szCs w:val="24"/>
        </w:rPr>
        <w:t>Nous vous remercions pour votre participation et vos précieuses contributions.</w:t>
      </w:r>
    </w:p>
    <w:p w14:paraId="2F3EEAED" w14:textId="435558B1" w:rsidR="001968A4" w:rsidRDefault="00800C7E" w:rsidP="00437801">
      <w:pPr>
        <w:autoSpaceDE w:val="0"/>
        <w:autoSpaceDN w:val="0"/>
        <w:adjustRightInd w:val="0"/>
        <w:ind w:left="3540" w:firstLine="708"/>
        <w:jc w:val="both"/>
        <w:outlineLvl w:val="0"/>
        <w:rPr>
          <w:rFonts w:ascii="Century Gothic" w:eastAsia="Times New Roman" w:hAnsi="Century Gothic" w:cs="Times New Roman"/>
          <w:b/>
          <w:bCs/>
          <w:sz w:val="24"/>
          <w:szCs w:val="24"/>
          <w:u w:val="single"/>
          <w:lang w:eastAsia="fr-FR"/>
        </w:rPr>
      </w:pPr>
      <w:r>
        <w:rPr>
          <w:rFonts w:ascii="Century Gothic" w:eastAsia="Times New Roman" w:hAnsi="Century Gothic" w:cs="Times New Roman"/>
          <w:sz w:val="24"/>
          <w:szCs w:val="24"/>
          <w:lang w:eastAsia="fr-FR"/>
        </w:rPr>
        <w:t xml:space="preserve">      </w:t>
      </w:r>
      <w:r w:rsidR="00930713" w:rsidRPr="00930713">
        <w:rPr>
          <w:rFonts w:ascii="Century Gothic" w:eastAsia="Times New Roman" w:hAnsi="Century Gothic" w:cs="Times New Roman"/>
          <w:b/>
          <w:bCs/>
          <w:sz w:val="24"/>
          <w:szCs w:val="24"/>
          <w:u w:val="single"/>
          <w:lang w:eastAsia="fr-FR"/>
        </w:rPr>
        <w:t>El H</w:t>
      </w:r>
      <w:bookmarkStart w:id="1" w:name="_GoBack"/>
      <w:bookmarkEnd w:id="1"/>
      <w:r w:rsidR="00930713" w:rsidRPr="00930713">
        <w:rPr>
          <w:rFonts w:ascii="Century Gothic" w:eastAsia="Times New Roman" w:hAnsi="Century Gothic" w:cs="Times New Roman"/>
          <w:b/>
          <w:bCs/>
          <w:sz w:val="24"/>
          <w:szCs w:val="24"/>
          <w:u w:val="single"/>
          <w:lang w:eastAsia="fr-FR"/>
        </w:rPr>
        <w:t xml:space="preserve">adj </w:t>
      </w:r>
      <w:proofErr w:type="spellStart"/>
      <w:r w:rsidR="00930713" w:rsidRPr="00930713">
        <w:rPr>
          <w:rFonts w:ascii="Century Gothic" w:eastAsia="Times New Roman" w:hAnsi="Century Gothic" w:cs="Times New Roman"/>
          <w:b/>
          <w:bCs/>
          <w:sz w:val="24"/>
          <w:szCs w:val="24"/>
          <w:u w:val="single"/>
          <w:lang w:eastAsia="fr-FR"/>
        </w:rPr>
        <w:t>Gando</w:t>
      </w:r>
      <w:proofErr w:type="spellEnd"/>
      <w:r w:rsidR="00930713" w:rsidRPr="00930713">
        <w:rPr>
          <w:rFonts w:ascii="Century Gothic" w:eastAsia="Times New Roman" w:hAnsi="Century Gothic" w:cs="Times New Roman"/>
          <w:b/>
          <w:bCs/>
          <w:sz w:val="24"/>
          <w:szCs w:val="24"/>
          <w:u w:val="single"/>
          <w:lang w:eastAsia="fr-FR"/>
        </w:rPr>
        <w:t xml:space="preserve"> BARRY</w:t>
      </w:r>
    </w:p>
    <w:p w14:paraId="3C38573E" w14:textId="0E1E5A35" w:rsidR="004118D5" w:rsidRDefault="004118D5" w:rsidP="004118D5">
      <w:pPr>
        <w:autoSpaceDE w:val="0"/>
        <w:autoSpaceDN w:val="0"/>
        <w:adjustRightInd w:val="0"/>
        <w:ind w:left="3540" w:firstLine="708"/>
        <w:jc w:val="both"/>
        <w:rPr>
          <w:rFonts w:ascii="Century Gothic" w:eastAsia="Times New Roman" w:hAnsi="Century Gothic" w:cs="Times New Roman"/>
          <w:sz w:val="24"/>
          <w:szCs w:val="24"/>
          <w:lang w:eastAsia="fr-FR"/>
        </w:rPr>
      </w:pPr>
      <w:r>
        <w:rPr>
          <w:rFonts w:ascii="Century Gothic" w:eastAsia="Times New Roman" w:hAnsi="Century Gothic" w:cs="Times New Roman"/>
          <w:sz w:val="24"/>
          <w:szCs w:val="24"/>
          <w:lang w:eastAsia="fr-FR"/>
        </w:rPr>
        <w:t xml:space="preserve">     Directeur Général d’EDG</w:t>
      </w:r>
    </w:p>
    <w:p w14:paraId="37768953" w14:textId="7BE4A721" w:rsidR="00CC31C6" w:rsidRPr="00930713" w:rsidRDefault="00CC31C6" w:rsidP="004118D5">
      <w:pPr>
        <w:autoSpaceDE w:val="0"/>
        <w:autoSpaceDN w:val="0"/>
        <w:adjustRightInd w:val="0"/>
        <w:ind w:left="3540" w:firstLine="708"/>
        <w:jc w:val="both"/>
        <w:rPr>
          <w:rFonts w:ascii="Century Gothic" w:hAnsi="Century Gothic" w:cs="Times New Roman"/>
          <w:b/>
          <w:bCs/>
          <w:sz w:val="24"/>
          <w:szCs w:val="24"/>
          <w:u w:val="single"/>
          <w:lang w:val="zh-CN" w:eastAsia="zh-CN"/>
        </w:rPr>
      </w:pPr>
      <w:r>
        <w:rPr>
          <w:rFonts w:ascii="Century Gothic" w:hAnsi="Century Gothic" w:cs="Times New Roman"/>
          <w:b/>
          <w:bCs/>
          <w:noProof/>
          <w:sz w:val="24"/>
          <w:szCs w:val="24"/>
          <w:u w:val="single"/>
          <w:lang w:eastAsia="fr-FR"/>
        </w:rPr>
        <w:lastRenderedPageBreak/>
        <w:drawing>
          <wp:inline distT="0" distB="0" distL="0" distR="0" wp14:anchorId="0DEC9E18" wp14:editId="0BBA2BAE">
            <wp:extent cx="4321771" cy="1501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PAAEG Avis engagement précoce marché des travaux d'électrification de la ville de Kindia_page-0006.jpg"/>
                    <pic:cNvPicPr/>
                  </pic:nvPicPr>
                  <pic:blipFill>
                    <a:blip r:embed="rId9">
                      <a:extLst>
                        <a:ext uri="{28A0092B-C50C-407E-A947-70E740481C1C}">
                          <a14:useLocalDpi xmlns:a14="http://schemas.microsoft.com/office/drawing/2010/main" val="0"/>
                        </a:ext>
                      </a:extLst>
                    </a:blip>
                    <a:stretch>
                      <a:fillRect/>
                    </a:stretch>
                  </pic:blipFill>
                  <pic:spPr>
                    <a:xfrm>
                      <a:off x="0" y="0"/>
                      <a:ext cx="4329820" cy="1503936"/>
                    </a:xfrm>
                    <a:prstGeom prst="rect">
                      <a:avLst/>
                    </a:prstGeom>
                  </pic:spPr>
                </pic:pic>
              </a:graphicData>
            </a:graphic>
          </wp:inline>
        </w:drawing>
      </w:r>
    </w:p>
    <w:sectPr w:rsidR="00CC31C6" w:rsidRPr="00930713">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0AFF2" w14:textId="77777777" w:rsidR="00FD4A19" w:rsidRDefault="00FD4A19">
      <w:pPr>
        <w:spacing w:line="240" w:lineRule="auto"/>
      </w:pPr>
      <w:r>
        <w:separator/>
      </w:r>
    </w:p>
  </w:endnote>
  <w:endnote w:type="continuationSeparator" w:id="0">
    <w:p w14:paraId="4AAF92B7" w14:textId="77777777" w:rsidR="00FD4A19" w:rsidRDefault="00FD4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panose1 w:val="020B0609000101010101"/>
    <w:charset w:val="81"/>
    <w:family w:val="auto"/>
    <w:pitch w:val="variable"/>
    <w:sig w:usb0="B00002AF" w:usb1="69D77CFB" w:usb2="00000030" w:usb3="00000000" w:csb0="0008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onstantia">
    <w:panose1 w:val="02030602050306030303"/>
    <w:charset w:val="00"/>
    <w:family w:val="auto"/>
    <w:pitch w:val="variable"/>
    <w:sig w:usb0="A00002EF" w:usb1="4000204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4473" w14:textId="46C768D8" w:rsidR="00BD462A" w:rsidRDefault="00BD462A">
    <w:pPr>
      <w:pStyle w:val="Pieddepage"/>
    </w:pPr>
    <w:r>
      <w:rPr>
        <w:noProof/>
        <w:lang w:eastAsia="fr-FR"/>
      </w:rPr>
      <mc:AlternateContent>
        <mc:Choice Requires="wps">
          <w:drawing>
            <wp:anchor distT="0" distB="0" distL="0" distR="0" simplePos="0" relativeHeight="251659264" behindDoc="0" locked="0" layoutInCell="1" allowOverlap="1" wp14:anchorId="6B0E0387" wp14:editId="6591414D">
              <wp:simplePos x="635" y="635"/>
              <wp:positionH relativeFrom="page">
                <wp:align>right</wp:align>
              </wp:positionH>
              <wp:positionV relativeFrom="page">
                <wp:align>bottom</wp:align>
              </wp:positionV>
              <wp:extent cx="1106805" cy="357505"/>
              <wp:effectExtent l="0" t="0" r="0" b="0"/>
              <wp:wrapNone/>
              <wp:docPr id="1094631119"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0A24DBB" w14:textId="4D8CEEF3"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0E0387"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reAIAALgEAAAOAAAAZHJzL2Uyb0RvYy54bWysVE1v2zAMvQ/YfxB0T22ncdIYcQo3qYcB&#10;QVugLXpWZDkxIEuCpMbOhv33knLSbd1Owy4yRfHj8ZH04rpvJTkI6xqtcppcxJQIxXXVqF1On5/K&#10;0RUlzjNVMamVyOlROHq9/Pxp0ZlMjPVey0pYAkGUyzqT0733Josix/eiZe5CG6Hgsda2ZR6udhdV&#10;lnUQvZXROI6nUadtZazmwjnQrodHugzx61pwf1/XTngicwrYfDhtOLd4RssFy3aWmX3DTzDYP6Bo&#10;WaMg6XuoNfOMvNrmj1Btw612uvYXXLeRruuGi1ADVJPEH6p53DMjQi1AjjPvNLn/F5bfHR4saSro&#10;XTyfTC+TJJlTolgLvXoSvSc3uidjSirhONAGZDa8YZI8O0HulTyGosFu4zyWjx6h7O9pcTtJymI8&#10;WsVlOZpMZvFofrOejNKyWK+Kq9nq5nb8A+mPglfwjzrjsoAI+xfERwPwfA8oACGao96BErP1tW3x&#10;CzQSeIf+Ht97ikg4OiXx9CpOKeHwdpnOUpCHrGdvY53/InRLUMiphZkJVbEDgBpMzyaYTOmykRL0&#10;LJPqNwVUgppQxQARwfp+259wb3V1hHKsHsbQGV42kHPDnH9gFuYOKoBd8vdw1FJ3OdUniZK9tt/+&#10;pkd7GAd4paSDOc6pgkWjRH5VMCY48mfBBmGcTuIY1NtwS+Zxijf12q40rEgC22p4EEFrvTyLtdXt&#10;C6xagdngiSkOOXO6PYsrP2wVrCoXRRGMYMQN8xv1aDiGRrKQyaf+hVlzottDo+70edJZ9oH1wRY9&#10;nSlePXAfWoLEDmye+Ib1CKN0WmXcv1/vwernD2f5BgAA//8DAFBLAwQUAAYACAAAACEA518zS9wA&#10;AAAEAQAADwAAAGRycy9kb3ducmV2LnhtbEyPUUvDMBSF3wX/Q7gDX8Slui1KbTp04IMgg03R17S5&#10;a8uSm5JkXffvzfaiLxcO53DOd4vlaA0b0IfOkYT7aQYMqXa6o0bC1+fb3ROwEBVpZRyhhBMGWJbX&#10;V4XKtTvSBodtbFgqoZArCW2Mfc55qFu0Kkxdj5S8nfNWxSR9w7VXx1RuDX/IMsGt6igttKrHVYv1&#10;fnuwEl5vw3f1sfen9/XciZ9hJUy/FlLeTMaXZ2ARx/gXhjN+QocyMVXuQDowIyE9Ei/37D3OZ8Aq&#10;CQsxA14W/D98+QsAAP//AwBQSwECLQAUAAYACAAAACEAtoM4kv4AAADhAQAAEwAAAAAAAAAAAAAA&#10;AAAAAAAAW0NvbnRlbnRfVHlwZXNdLnhtbFBLAQItABQABgAIAAAAIQA4/SH/1gAAAJQBAAALAAAA&#10;AAAAAAAAAAAAAC8BAABfcmVscy8ucmVsc1BLAQItABQABgAIAAAAIQDD+4NreAIAALgEAAAOAAAA&#10;AAAAAAAAAAAAAC4CAABkcnMvZTJvRG9jLnhtbFBLAQItABQABgAIAAAAIQDnXzNL3AAAAAQBAAAP&#10;AAAAAAAAAAAAAAAAANIEAABkcnMvZG93bnJldi54bWxQSwUGAAAAAAQABADzAAAA2wUAAAAA&#10;" filled="f" stroked="f">
              <v:textbox style="mso-fit-shape-to-text:t" inset="0,0,20pt,15pt">
                <w:txbxContent>
                  <w:p w14:paraId="60A24DBB" w14:textId="4D8CEEF3"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17AF" w14:textId="0CC5DD1C" w:rsidR="001968A4" w:rsidRDefault="00BD462A">
    <w:pPr>
      <w:pStyle w:val="Pieddepage"/>
      <w:jc w:val="right"/>
    </w:pPr>
    <w:r>
      <w:rPr>
        <w:noProof/>
        <w:lang w:eastAsia="fr-FR"/>
      </w:rPr>
      <mc:AlternateContent>
        <mc:Choice Requires="wps">
          <w:drawing>
            <wp:anchor distT="0" distB="0" distL="0" distR="0" simplePos="0" relativeHeight="251660288" behindDoc="0" locked="0" layoutInCell="1" allowOverlap="1" wp14:anchorId="1DC02A14" wp14:editId="78328100">
              <wp:simplePos x="899160" y="10073640"/>
              <wp:positionH relativeFrom="page">
                <wp:align>right</wp:align>
              </wp:positionH>
              <wp:positionV relativeFrom="page">
                <wp:align>bottom</wp:align>
              </wp:positionV>
              <wp:extent cx="445135" cy="357505"/>
              <wp:effectExtent l="0" t="0" r="0" b="0"/>
              <wp:wrapNone/>
              <wp:docPr id="1315013782"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5135" cy="357505"/>
                      </a:xfrm>
                      <a:prstGeom prst="rect">
                        <a:avLst/>
                      </a:prstGeom>
                      <a:noFill/>
                      <a:ln>
                        <a:noFill/>
                      </a:ln>
                    </wps:spPr>
                    <wps:txbx>
                      <w:txbxContent>
                        <w:p w14:paraId="0102B87A" w14:textId="5CE944AA"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C02A14"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o6egIAAL8EAAAOAAAAZHJzL2Uyb0RvYy54bWysVE1v2zAMvQ/YfxB0T20ncZMadQonqYcB&#10;RVugLXpWZDkxIEuCpNbOhv33knLcbd1Owy4yRfHj8ZH05VXfSvIqrGu0ymlyFlMiFNdVo/Y5fXos&#10;J0tKnGeqYlIrkdOjcPRq9fnTZWcyMdUHLSthCQRRLutMTg/emyyKHD+IlrkzbYSCx1rblnm42n1U&#10;WdZB9FZG0zg+jzptK2M1F86Bdjs80lWIX9eC+7u6dsITmVPA5sNpw7nDM1pdsmxvmTk0/ASD/QOK&#10;ljUKkr6H2jLPyItt/gjVNtxqp2t/xnUb6bpuuAg1QDVJ/KGahwMzItQC5DjzTpP7f2H57eu9JU0F&#10;vZslaZzMFsspJYq10KtH0Xuy1j2ZUVIJx4E2ILPhDZPkyQlyp+QxFA12N85j+egRyv6eFtfzpCym&#10;k01clpP5fBFPLtbb+SQti+2mWC426+vpD6Q/Cl7BP+qMywIi7F8QHwzA8z2gAIRojnoHSszW17bF&#10;L9BI4B36e3zvKSLh6JTE58s4pYTD2yxdpCAPWUdvY53/InRLUMiphZkJVbFXADWYjiaYTOmykRL0&#10;LJPqNwVUgppQxQARwfp+1w8Ej/B3ujpCVVYP0+gMLxtIfcOcv2cWxg8KgZXyd3DUUnc51SeJkoO2&#10;3/6mR3uYCnilpINxzqmCfaNEflUwLTj5o2CDME3ncQzqXbglF3GKN/XSbjRsSgJLa3gQQWu9HMXa&#10;6vYZNq7AbPDEFIecOd2N4sYPywUby0VRBCOYdMP8jXowHEMjZ0joY//MrDmx7qFft3oceJZ9IH+w&#10;RU9nihcPLQidQX4HNk+0w5aEiTptNK7hr/dg9fO/s3oD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Cvi6jp6AgAAvwQAAA4A&#10;AAAAAAAAAAAAAAAALgIAAGRycy9lMm9Eb2MueG1sUEsBAi0AFAAGAAgAAAAhAOdfM0vcAAAABAEA&#10;AA8AAAAAAAAAAAAAAAAA1AQAAGRycy9kb3ducmV2LnhtbFBLBQYAAAAABAAEAPMAAADdBQAAAAA=&#10;" filled="f" stroked="f">
              <v:textbox style="mso-fit-shape-to-text:t" inset="0,0,20pt,15pt">
                <w:txbxContent>
                  <w:p w14:paraId="0102B87A" w14:textId="5CE944AA"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w:t>
                    </w:r>
                  </w:p>
                </w:txbxContent>
              </v:textbox>
              <w10:wrap anchorx="page" anchory="page"/>
            </v:shape>
          </w:pict>
        </mc:Fallback>
      </mc:AlternateContent>
    </w:r>
    <w:sdt>
      <w:sdtPr>
        <w:id w:val="1043952299"/>
        <w:docPartObj>
          <w:docPartGallery w:val="AutoText"/>
        </w:docPartObj>
      </w:sdtPr>
      <w:sdtEndPr/>
      <w:sdtContent>
        <w:sdt>
          <w:sdtPr>
            <w:id w:val="-1769616900"/>
            <w:docPartObj>
              <w:docPartGallery w:val="AutoText"/>
            </w:docPartObj>
          </w:sdtPr>
          <w:sdtEndPr/>
          <w:sdtContent>
            <w:r w:rsidR="00A715C2">
              <w:t xml:space="preserve">Page </w:t>
            </w:r>
            <w:r w:rsidR="00A715C2">
              <w:rPr>
                <w:b/>
                <w:bCs/>
                <w:sz w:val="24"/>
                <w:szCs w:val="24"/>
              </w:rPr>
              <w:fldChar w:fldCharType="begin"/>
            </w:r>
            <w:r w:rsidR="00A715C2">
              <w:rPr>
                <w:b/>
                <w:bCs/>
              </w:rPr>
              <w:instrText>PAGE</w:instrText>
            </w:r>
            <w:r w:rsidR="00A715C2">
              <w:rPr>
                <w:b/>
                <w:bCs/>
                <w:sz w:val="24"/>
                <w:szCs w:val="24"/>
              </w:rPr>
              <w:fldChar w:fldCharType="separate"/>
            </w:r>
            <w:r w:rsidR="00CC31C6">
              <w:rPr>
                <w:b/>
                <w:bCs/>
                <w:noProof/>
              </w:rPr>
              <w:t>2</w:t>
            </w:r>
            <w:r w:rsidR="00A715C2">
              <w:rPr>
                <w:b/>
                <w:bCs/>
                <w:sz w:val="24"/>
                <w:szCs w:val="24"/>
              </w:rPr>
              <w:fldChar w:fldCharType="end"/>
            </w:r>
            <w:r w:rsidR="00A715C2">
              <w:t xml:space="preserve"> sur </w:t>
            </w:r>
            <w:r w:rsidR="00A715C2">
              <w:rPr>
                <w:b/>
                <w:bCs/>
                <w:sz w:val="24"/>
                <w:szCs w:val="24"/>
              </w:rPr>
              <w:fldChar w:fldCharType="begin"/>
            </w:r>
            <w:r w:rsidR="00A715C2">
              <w:rPr>
                <w:b/>
                <w:bCs/>
              </w:rPr>
              <w:instrText>NUMPAGES</w:instrText>
            </w:r>
            <w:r w:rsidR="00A715C2">
              <w:rPr>
                <w:b/>
                <w:bCs/>
                <w:sz w:val="24"/>
                <w:szCs w:val="24"/>
              </w:rPr>
              <w:fldChar w:fldCharType="separate"/>
            </w:r>
            <w:r w:rsidR="00CC31C6">
              <w:rPr>
                <w:b/>
                <w:bCs/>
                <w:noProof/>
              </w:rPr>
              <w:t>7</w:t>
            </w:r>
            <w:r w:rsidR="00A715C2">
              <w:rPr>
                <w:b/>
                <w:bCs/>
                <w:sz w:val="24"/>
                <w:szCs w:val="24"/>
              </w:rPr>
              <w:fldChar w:fldCharType="end"/>
            </w:r>
          </w:sdtContent>
        </w:sdt>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DC169" w14:textId="00E8F7D2" w:rsidR="00BD462A" w:rsidRDefault="00BD462A">
    <w:pPr>
      <w:pStyle w:val="Pieddepage"/>
    </w:pPr>
    <w:r>
      <w:rPr>
        <w:noProof/>
        <w:lang w:eastAsia="fr-FR"/>
      </w:rPr>
      <mc:AlternateContent>
        <mc:Choice Requires="wps">
          <w:drawing>
            <wp:anchor distT="0" distB="0" distL="0" distR="0" simplePos="0" relativeHeight="251658240" behindDoc="0" locked="0" layoutInCell="1" allowOverlap="1" wp14:anchorId="0477D1F0" wp14:editId="025F5CE1">
              <wp:simplePos x="635" y="635"/>
              <wp:positionH relativeFrom="page">
                <wp:align>right</wp:align>
              </wp:positionH>
              <wp:positionV relativeFrom="page">
                <wp:align>bottom</wp:align>
              </wp:positionV>
              <wp:extent cx="1106805" cy="357505"/>
              <wp:effectExtent l="0" t="0" r="0" b="0"/>
              <wp:wrapNone/>
              <wp:docPr id="1386546211"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933D337" w14:textId="043AC7BD"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7D1F0"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JzegIAAL8EAAAOAAAAZHJzL2Uyb0RvYy54bWysVE1P3DAQvVfqf7B8X/LBZlkisijskqoS&#10;AiRAPXsdh42U2JZt2Gyr/vc+Oxva0p6qXpzxeD7evJnJxeXQd+RVGNsqWdDkJKZESK7qVj4X9Omx&#10;mi0psY7JmnVKioIehKWXq48fLvY6F6naqa4WhiCItPleF3TnnM6jyPKd6Jk9UVpIPDbK9Mzhap6j&#10;2rA9ovddlMbxItorU2ujuLAW2s34SFchftMI7u6axgpHuoICmwunCefWn9HqguXPhuldy48w2D+g&#10;6FkrkfQt1IY5Rl5M+0eovuVGWdW4E676SDVNy0WoAdUk8btqHnZMi1ALyLH6jSb7/8Ly29d7Q9oa&#10;vTtdLrL5Ik0SSiTr0atHMThypQYCTS0sB20gs+Ut68iTFeROdodQNOxurPPle49Q9resvJ4nVZnO&#10;1nFVzebzs3h2frWZz7Kq3KzL5dn66jr97umPglfwj/ba5gGR718QHzTguQEogNCbe72F0mcbGtP7&#10;L2gkeEd/D2899Ui4d0rixTLOKOF4O83OMshj1slbG+s+CdUTLxTUYGZCVewVoEbTycQnk6pquw56&#10;lnfyNwUq8ZpQxQjRg3XDdggEpxP8raoPqMqocRqt5lWL1DfMuntmMH4oBCvl7nA0ndoXVB0lSnbK&#10;fP2b3ttjKvBKyR7jXFCJfaOk+ywxLX7yJ8EEIc3mcQz1NtyS8zjzN/nSrxU2BQ0HqiBCa1w3iY1R&#10;/RdsXOmz4YlJjpwF3U7i2o3LhY3loiyDESZdM3cjHzT3oT1nntDH4Qsz+si6Q79u1TTwLH9H/mjr&#10;Pa0uXxxaEDrj+R3ZPNKOLQkTddxov4a/3oPVz//O6gc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MG/snN6AgAAvwQAAA4A&#10;AAAAAAAAAAAAAAAALgIAAGRycy9lMm9Eb2MueG1sUEsBAi0AFAAGAAgAAAAhAOdfM0vcAAAABAEA&#10;AA8AAAAAAAAAAAAAAAAA1AQAAGRycy9kb3ducmV2LnhtbFBLBQYAAAAABAAEAPMAAADdBQAAAAA=&#10;" filled="f" stroked="f">
              <v:textbox style="mso-fit-shape-to-text:t" inset="0,0,20pt,15pt">
                <w:txbxContent>
                  <w:p w14:paraId="6933D337" w14:textId="043AC7BD"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04ADF" w14:textId="77777777" w:rsidR="00FD4A19" w:rsidRDefault="00FD4A19">
      <w:pPr>
        <w:spacing w:after="0"/>
      </w:pPr>
      <w:r>
        <w:separator/>
      </w:r>
    </w:p>
  </w:footnote>
  <w:footnote w:type="continuationSeparator" w:id="0">
    <w:p w14:paraId="2FA64AED" w14:textId="77777777" w:rsidR="00FD4A19" w:rsidRDefault="00FD4A1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4C99"/>
    <w:multiLevelType w:val="hybridMultilevel"/>
    <w:tmpl w:val="818C719A"/>
    <w:lvl w:ilvl="0" w:tplc="69520A62">
      <w:start w:val="1"/>
      <w:numFmt w:val="decimal"/>
      <w:lvlText w:val="%1."/>
      <w:lvlJc w:val="left"/>
      <w:pPr>
        <w:ind w:left="643" w:hanging="360"/>
      </w:pPr>
      <w:rPr>
        <w:b/>
        <w:bCs/>
      </w:rPr>
    </w:lvl>
    <w:lvl w:ilvl="1" w:tplc="7D98B50E">
      <w:start w:val="1"/>
      <w:numFmt w:val="lowerLetter"/>
      <w:lvlText w:val="%2)"/>
      <w:lvlJc w:val="left"/>
      <w:pPr>
        <w:ind w:left="1363" w:hanging="360"/>
      </w:pPr>
      <w:rPr>
        <w:rFonts w:hint="default"/>
        <w:b/>
      </w:r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07F74122"/>
    <w:multiLevelType w:val="hybridMultilevel"/>
    <w:tmpl w:val="0B8A10B6"/>
    <w:lvl w:ilvl="0" w:tplc="8CE46DF8">
      <w:start w:val="1"/>
      <w:numFmt w:val="decimal"/>
      <w:lvlText w:val="%1."/>
      <w:lvlJc w:val="left"/>
      <w:pPr>
        <w:ind w:left="1068" w:hanging="360"/>
      </w:pPr>
      <w:rPr>
        <w:b/>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9C440C"/>
    <w:multiLevelType w:val="hybridMultilevel"/>
    <w:tmpl w:val="BE4E6B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A9E499F"/>
    <w:multiLevelType w:val="hybridMultilevel"/>
    <w:tmpl w:val="159C6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276840"/>
    <w:multiLevelType w:val="hybridMultilevel"/>
    <w:tmpl w:val="51B28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25064"/>
    <w:multiLevelType w:val="hybridMultilevel"/>
    <w:tmpl w:val="BDA4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E448A"/>
    <w:multiLevelType w:val="multilevel"/>
    <w:tmpl w:val="5CE4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6E72B3"/>
    <w:multiLevelType w:val="multilevel"/>
    <w:tmpl w:val="2A6E72B3"/>
    <w:lvl w:ilvl="0">
      <w:start w:val="1"/>
      <w:numFmt w:val="bullet"/>
      <w:lvlText w:val="—"/>
      <w:lvlJc w:val="left"/>
      <w:pPr>
        <w:ind w:left="720" w:hanging="360"/>
      </w:pPr>
      <w:rPr>
        <w:rFonts w:ascii="GulimChe" w:eastAsia="GulimChe" w:hAnsi="GulimChe" w:hint="eastAsia"/>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EE538F"/>
    <w:multiLevelType w:val="multilevel"/>
    <w:tmpl w:val="2CEE538F"/>
    <w:lvl w:ilvl="0">
      <w:start w:val="1"/>
      <w:numFmt w:val="bullet"/>
      <w:lvlText w:val="—"/>
      <w:lvlJc w:val="left"/>
      <w:pPr>
        <w:ind w:left="720" w:hanging="360"/>
      </w:pPr>
      <w:rPr>
        <w:rFonts w:ascii="GulimChe" w:eastAsia="GulimChe" w:hAnsi="GulimChe" w:hint="eastAsia"/>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F46928"/>
    <w:multiLevelType w:val="multilevel"/>
    <w:tmpl w:val="2FF46928"/>
    <w:lvl w:ilvl="0">
      <w:start w:val="13"/>
      <w:numFmt w:val="bullet"/>
      <w:lvlText w:val="-"/>
      <w:lvlJc w:val="left"/>
      <w:pPr>
        <w:ind w:left="1068" w:hanging="360"/>
      </w:pPr>
      <w:rPr>
        <w:rFonts w:ascii="Arial Narrow" w:eastAsia="Times New Roman"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nsid w:val="384E483D"/>
    <w:multiLevelType w:val="hybridMultilevel"/>
    <w:tmpl w:val="AFAE4452"/>
    <w:lvl w:ilvl="0" w:tplc="DEF6271C">
      <w:numFmt w:val="bullet"/>
      <w:lvlText w:val="-"/>
      <w:lvlJc w:val="left"/>
      <w:pPr>
        <w:ind w:left="643" w:hanging="360"/>
      </w:pPr>
      <w:rPr>
        <w:rFonts w:ascii="Times New Roman" w:eastAsiaTheme="minorEastAsia"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1">
    <w:nsid w:val="459826B7"/>
    <w:multiLevelType w:val="hybridMultilevel"/>
    <w:tmpl w:val="CE0AF3E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nsid w:val="481C250A"/>
    <w:multiLevelType w:val="multilevel"/>
    <w:tmpl w:val="481C250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49B79F2"/>
    <w:multiLevelType w:val="hybridMultilevel"/>
    <w:tmpl w:val="1D1E7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EF3379"/>
    <w:multiLevelType w:val="hybridMultilevel"/>
    <w:tmpl w:val="BC7A29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5A862033"/>
    <w:multiLevelType w:val="multilevel"/>
    <w:tmpl w:val="5A862033"/>
    <w:lvl w:ilvl="0">
      <w:start w:val="1"/>
      <w:numFmt w:val="decimal"/>
      <w:lvlText w:val="%1)"/>
      <w:lvlJc w:val="left"/>
      <w:pPr>
        <w:ind w:left="720" w:hanging="360"/>
      </w:pPr>
      <w:rPr>
        <w:rFonts w:hint="default"/>
      </w:rPr>
    </w:lvl>
    <w:lvl w:ilvl="1">
      <w:start w:val="76"/>
      <w:numFmt w:val="bullet"/>
      <w:lvlText w:val="-"/>
      <w:lvlJc w:val="left"/>
      <w:pPr>
        <w:ind w:left="1440" w:hanging="360"/>
      </w:pPr>
      <w:rPr>
        <w:rFonts w:ascii="Calibri" w:eastAsiaTheme="minorHAnsi" w:hAnsi="Calibri" w:cs="Calibri" w:hint="default"/>
      </w:rPr>
    </w:lvl>
    <w:lvl w:ilvl="2">
      <w:start w:val="78"/>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C2F4840"/>
    <w:multiLevelType w:val="multilevel"/>
    <w:tmpl w:val="5C2F4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D5B3572"/>
    <w:multiLevelType w:val="multilevel"/>
    <w:tmpl w:val="5D5B3572"/>
    <w:lvl w:ilvl="0">
      <w:start w:val="1"/>
      <w:numFmt w:val="bullet"/>
      <w:lvlText w:val="-"/>
      <w:lvlJc w:val="left"/>
      <w:pPr>
        <w:ind w:left="916" w:hanging="360"/>
      </w:pPr>
      <w:rPr>
        <w:rFonts w:ascii="Times New Roman" w:eastAsia="Times New Roman" w:hAnsi="Times New Roman" w:cs="Times New Roman" w:hint="default"/>
      </w:rPr>
    </w:lvl>
    <w:lvl w:ilvl="1">
      <w:start w:val="1"/>
      <w:numFmt w:val="bullet"/>
      <w:lvlText w:val="o"/>
      <w:lvlJc w:val="left"/>
      <w:pPr>
        <w:ind w:left="1636" w:hanging="360"/>
      </w:pPr>
      <w:rPr>
        <w:rFonts w:ascii="Courier New" w:hAnsi="Courier New" w:cs="Courier New" w:hint="default"/>
      </w:rPr>
    </w:lvl>
    <w:lvl w:ilvl="2">
      <w:start w:val="1"/>
      <w:numFmt w:val="bullet"/>
      <w:lvlText w:val=""/>
      <w:lvlJc w:val="left"/>
      <w:pPr>
        <w:ind w:left="2356" w:hanging="360"/>
      </w:pPr>
      <w:rPr>
        <w:rFonts w:ascii="Wingdings" w:hAnsi="Wingdings" w:hint="default"/>
      </w:rPr>
    </w:lvl>
    <w:lvl w:ilvl="3">
      <w:start w:val="1"/>
      <w:numFmt w:val="bullet"/>
      <w:lvlText w:val=""/>
      <w:lvlJc w:val="left"/>
      <w:pPr>
        <w:ind w:left="3076" w:hanging="360"/>
      </w:pPr>
      <w:rPr>
        <w:rFonts w:ascii="Symbol" w:hAnsi="Symbol" w:hint="default"/>
      </w:rPr>
    </w:lvl>
    <w:lvl w:ilvl="4">
      <w:start w:val="1"/>
      <w:numFmt w:val="bullet"/>
      <w:lvlText w:val="o"/>
      <w:lvlJc w:val="left"/>
      <w:pPr>
        <w:ind w:left="3796" w:hanging="360"/>
      </w:pPr>
      <w:rPr>
        <w:rFonts w:ascii="Courier New" w:hAnsi="Courier New" w:cs="Courier New" w:hint="default"/>
      </w:rPr>
    </w:lvl>
    <w:lvl w:ilvl="5">
      <w:start w:val="1"/>
      <w:numFmt w:val="bullet"/>
      <w:lvlText w:val=""/>
      <w:lvlJc w:val="left"/>
      <w:pPr>
        <w:ind w:left="4516" w:hanging="360"/>
      </w:pPr>
      <w:rPr>
        <w:rFonts w:ascii="Wingdings" w:hAnsi="Wingdings" w:hint="default"/>
      </w:rPr>
    </w:lvl>
    <w:lvl w:ilvl="6">
      <w:start w:val="1"/>
      <w:numFmt w:val="bullet"/>
      <w:lvlText w:val=""/>
      <w:lvlJc w:val="left"/>
      <w:pPr>
        <w:ind w:left="5236" w:hanging="360"/>
      </w:pPr>
      <w:rPr>
        <w:rFonts w:ascii="Symbol" w:hAnsi="Symbol" w:hint="default"/>
      </w:rPr>
    </w:lvl>
    <w:lvl w:ilvl="7">
      <w:start w:val="1"/>
      <w:numFmt w:val="bullet"/>
      <w:lvlText w:val="o"/>
      <w:lvlJc w:val="left"/>
      <w:pPr>
        <w:ind w:left="5956" w:hanging="360"/>
      </w:pPr>
      <w:rPr>
        <w:rFonts w:ascii="Courier New" w:hAnsi="Courier New" w:cs="Courier New" w:hint="default"/>
      </w:rPr>
    </w:lvl>
    <w:lvl w:ilvl="8">
      <w:start w:val="1"/>
      <w:numFmt w:val="bullet"/>
      <w:lvlText w:val=""/>
      <w:lvlJc w:val="left"/>
      <w:pPr>
        <w:ind w:left="6676" w:hanging="360"/>
      </w:pPr>
      <w:rPr>
        <w:rFonts w:ascii="Wingdings" w:hAnsi="Wingdings" w:hint="default"/>
      </w:rPr>
    </w:lvl>
  </w:abstractNum>
  <w:abstractNum w:abstractNumId="18">
    <w:nsid w:val="68960B32"/>
    <w:multiLevelType w:val="multilevel"/>
    <w:tmpl w:val="68960B32"/>
    <w:lvl w:ilvl="0">
      <w:start w:val="1"/>
      <w:numFmt w:val="decimal"/>
      <w:lvlText w:val="%1."/>
      <w:lvlJc w:val="left"/>
      <w:pPr>
        <w:ind w:left="450" w:hanging="360"/>
      </w:pPr>
      <w:rPr>
        <w:b/>
        <w:bCs w:val="0"/>
        <w:i w:val="0"/>
        <w:color w:val="000000"/>
        <w:sz w:val="22"/>
        <w:szCs w:val="22"/>
        <w:vertAlign w:val="baseline"/>
      </w:rPr>
    </w:lvl>
    <w:lvl w:ilvl="1">
      <w:start w:val="1"/>
      <w:numFmt w:val="lowerLetter"/>
      <w:lvlText w:val="(%2)"/>
      <w:lvlJc w:val="left"/>
      <w:pPr>
        <w:ind w:left="720" w:hanging="360"/>
      </w:pPr>
      <w:rPr>
        <w:rFonts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nsid w:val="784A0E5A"/>
    <w:multiLevelType w:val="hybridMultilevel"/>
    <w:tmpl w:val="9F3A0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BB4B30"/>
    <w:multiLevelType w:val="multilevel"/>
    <w:tmpl w:val="7DBB4B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0"/>
  </w:num>
  <w:num w:numId="4">
    <w:abstractNumId w:val="9"/>
  </w:num>
  <w:num w:numId="5">
    <w:abstractNumId w:val="17"/>
  </w:num>
  <w:num w:numId="6">
    <w:abstractNumId w:val="12"/>
  </w:num>
  <w:num w:numId="7">
    <w:abstractNumId w:val="15"/>
  </w:num>
  <w:num w:numId="8">
    <w:abstractNumId w:val="8"/>
  </w:num>
  <w:num w:numId="9">
    <w:abstractNumId w:val="1"/>
  </w:num>
  <w:num w:numId="10">
    <w:abstractNumId w:val="0"/>
  </w:num>
  <w:num w:numId="11">
    <w:abstractNumId w:val="14"/>
  </w:num>
  <w:num w:numId="12">
    <w:abstractNumId w:val="10"/>
  </w:num>
  <w:num w:numId="13">
    <w:abstractNumId w:val="2"/>
  </w:num>
  <w:num w:numId="14">
    <w:abstractNumId w:val="3"/>
  </w:num>
  <w:num w:numId="15">
    <w:abstractNumId w:val="18"/>
  </w:num>
  <w:num w:numId="16">
    <w:abstractNumId w:val="5"/>
  </w:num>
  <w:num w:numId="17">
    <w:abstractNumId w:val="13"/>
  </w:num>
  <w:num w:numId="18">
    <w:abstractNumId w:val="19"/>
  </w:num>
  <w:num w:numId="19">
    <w:abstractNumId w:val="4"/>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D1"/>
    <w:rsid w:val="00001C31"/>
    <w:rsid w:val="00005087"/>
    <w:rsid w:val="00005B4D"/>
    <w:rsid w:val="0001746D"/>
    <w:rsid w:val="00026CEA"/>
    <w:rsid w:val="00051BEF"/>
    <w:rsid w:val="00054807"/>
    <w:rsid w:val="0005601B"/>
    <w:rsid w:val="000721D1"/>
    <w:rsid w:val="00072F89"/>
    <w:rsid w:val="00076A36"/>
    <w:rsid w:val="000850F3"/>
    <w:rsid w:val="00091F44"/>
    <w:rsid w:val="00096D60"/>
    <w:rsid w:val="0009739E"/>
    <w:rsid w:val="000A01A6"/>
    <w:rsid w:val="000A1484"/>
    <w:rsid w:val="000A1C17"/>
    <w:rsid w:val="000A54A4"/>
    <w:rsid w:val="000A6BCC"/>
    <w:rsid w:val="000A7B25"/>
    <w:rsid w:val="000B08BE"/>
    <w:rsid w:val="000C50C7"/>
    <w:rsid w:val="000C62CE"/>
    <w:rsid w:val="000C6FF1"/>
    <w:rsid w:val="000D6579"/>
    <w:rsid w:val="000D6644"/>
    <w:rsid w:val="000E0AF2"/>
    <w:rsid w:val="000E0BA5"/>
    <w:rsid w:val="000E1A9D"/>
    <w:rsid w:val="000F0AA5"/>
    <w:rsid w:val="000F6170"/>
    <w:rsid w:val="00105171"/>
    <w:rsid w:val="0013159D"/>
    <w:rsid w:val="00133E02"/>
    <w:rsid w:val="00142DAB"/>
    <w:rsid w:val="001453CD"/>
    <w:rsid w:val="00147BF9"/>
    <w:rsid w:val="00157171"/>
    <w:rsid w:val="001606FC"/>
    <w:rsid w:val="00162A97"/>
    <w:rsid w:val="00167210"/>
    <w:rsid w:val="00182177"/>
    <w:rsid w:val="001968A4"/>
    <w:rsid w:val="001A2FFD"/>
    <w:rsid w:val="001A58BD"/>
    <w:rsid w:val="001D3ECC"/>
    <w:rsid w:val="001E210F"/>
    <w:rsid w:val="001E2CAC"/>
    <w:rsid w:val="001F7CB4"/>
    <w:rsid w:val="0020779E"/>
    <w:rsid w:val="0022162E"/>
    <w:rsid w:val="00236E78"/>
    <w:rsid w:val="00240CFD"/>
    <w:rsid w:val="0024115F"/>
    <w:rsid w:val="002437BC"/>
    <w:rsid w:val="00260966"/>
    <w:rsid w:val="00271E5D"/>
    <w:rsid w:val="00275ED6"/>
    <w:rsid w:val="002777EE"/>
    <w:rsid w:val="00282427"/>
    <w:rsid w:val="002850BC"/>
    <w:rsid w:val="00296829"/>
    <w:rsid w:val="002D1BF2"/>
    <w:rsid w:val="002D1DF1"/>
    <w:rsid w:val="002D28D1"/>
    <w:rsid w:val="002E25B4"/>
    <w:rsid w:val="002E2F07"/>
    <w:rsid w:val="002F6686"/>
    <w:rsid w:val="00301296"/>
    <w:rsid w:val="00301D99"/>
    <w:rsid w:val="00302751"/>
    <w:rsid w:val="00303D91"/>
    <w:rsid w:val="0031394C"/>
    <w:rsid w:val="00321E46"/>
    <w:rsid w:val="00322D78"/>
    <w:rsid w:val="0032730A"/>
    <w:rsid w:val="003279DB"/>
    <w:rsid w:val="00330E3A"/>
    <w:rsid w:val="00337631"/>
    <w:rsid w:val="00355E1F"/>
    <w:rsid w:val="00362954"/>
    <w:rsid w:val="0036799D"/>
    <w:rsid w:val="00367B48"/>
    <w:rsid w:val="00372C20"/>
    <w:rsid w:val="00382073"/>
    <w:rsid w:val="00386FB7"/>
    <w:rsid w:val="00391E34"/>
    <w:rsid w:val="003A06B0"/>
    <w:rsid w:val="003A2E2B"/>
    <w:rsid w:val="003A6FAC"/>
    <w:rsid w:val="003A7E53"/>
    <w:rsid w:val="003B71FE"/>
    <w:rsid w:val="003C0DD7"/>
    <w:rsid w:val="003C5917"/>
    <w:rsid w:val="003E1342"/>
    <w:rsid w:val="00400FBF"/>
    <w:rsid w:val="004059FB"/>
    <w:rsid w:val="00410CAE"/>
    <w:rsid w:val="004118D5"/>
    <w:rsid w:val="00421BD5"/>
    <w:rsid w:val="00425928"/>
    <w:rsid w:val="00425C47"/>
    <w:rsid w:val="00437801"/>
    <w:rsid w:val="00440887"/>
    <w:rsid w:val="00441B73"/>
    <w:rsid w:val="0046332F"/>
    <w:rsid w:val="004677EA"/>
    <w:rsid w:val="00484742"/>
    <w:rsid w:val="0048721C"/>
    <w:rsid w:val="0049550C"/>
    <w:rsid w:val="0049769A"/>
    <w:rsid w:val="004A461F"/>
    <w:rsid w:val="004E021E"/>
    <w:rsid w:val="004E2C2E"/>
    <w:rsid w:val="004E33D8"/>
    <w:rsid w:val="004F58DF"/>
    <w:rsid w:val="00500EAA"/>
    <w:rsid w:val="00501655"/>
    <w:rsid w:val="00512EEA"/>
    <w:rsid w:val="00513E67"/>
    <w:rsid w:val="00514773"/>
    <w:rsid w:val="0052248D"/>
    <w:rsid w:val="0052392B"/>
    <w:rsid w:val="00540C17"/>
    <w:rsid w:val="0054235D"/>
    <w:rsid w:val="00556DD5"/>
    <w:rsid w:val="00574436"/>
    <w:rsid w:val="0057541B"/>
    <w:rsid w:val="00577187"/>
    <w:rsid w:val="00582D30"/>
    <w:rsid w:val="00593EB1"/>
    <w:rsid w:val="005B1DC3"/>
    <w:rsid w:val="005B254E"/>
    <w:rsid w:val="005C2981"/>
    <w:rsid w:val="005D588F"/>
    <w:rsid w:val="005E014B"/>
    <w:rsid w:val="005F0DD9"/>
    <w:rsid w:val="00611020"/>
    <w:rsid w:val="00615AF1"/>
    <w:rsid w:val="006160EC"/>
    <w:rsid w:val="0063320F"/>
    <w:rsid w:val="0063797F"/>
    <w:rsid w:val="00656ECF"/>
    <w:rsid w:val="0067094A"/>
    <w:rsid w:val="00685F40"/>
    <w:rsid w:val="00686DDA"/>
    <w:rsid w:val="006A7542"/>
    <w:rsid w:val="006B3A6E"/>
    <w:rsid w:val="006C1E6F"/>
    <w:rsid w:val="006C4B91"/>
    <w:rsid w:val="006C4BF4"/>
    <w:rsid w:val="006E21CC"/>
    <w:rsid w:val="006E3043"/>
    <w:rsid w:val="006F589D"/>
    <w:rsid w:val="0071125F"/>
    <w:rsid w:val="0071152D"/>
    <w:rsid w:val="007206D7"/>
    <w:rsid w:val="007273F5"/>
    <w:rsid w:val="0074694A"/>
    <w:rsid w:val="00750AB3"/>
    <w:rsid w:val="00750B1A"/>
    <w:rsid w:val="007524F2"/>
    <w:rsid w:val="00754CF0"/>
    <w:rsid w:val="00760E60"/>
    <w:rsid w:val="007642CE"/>
    <w:rsid w:val="00766CCA"/>
    <w:rsid w:val="00780A9D"/>
    <w:rsid w:val="00786C26"/>
    <w:rsid w:val="00791C2D"/>
    <w:rsid w:val="00794997"/>
    <w:rsid w:val="007B0715"/>
    <w:rsid w:val="007B664D"/>
    <w:rsid w:val="007D45A2"/>
    <w:rsid w:val="007D51FE"/>
    <w:rsid w:val="007E33FE"/>
    <w:rsid w:val="007E369A"/>
    <w:rsid w:val="007F46D4"/>
    <w:rsid w:val="007F7298"/>
    <w:rsid w:val="00800C7E"/>
    <w:rsid w:val="00803AA6"/>
    <w:rsid w:val="00826C25"/>
    <w:rsid w:val="00841173"/>
    <w:rsid w:val="00851942"/>
    <w:rsid w:val="00867920"/>
    <w:rsid w:val="00872A9D"/>
    <w:rsid w:val="00874268"/>
    <w:rsid w:val="00885D61"/>
    <w:rsid w:val="00887F12"/>
    <w:rsid w:val="008904D6"/>
    <w:rsid w:val="008914C3"/>
    <w:rsid w:val="008B23CE"/>
    <w:rsid w:val="008B64E5"/>
    <w:rsid w:val="008D0617"/>
    <w:rsid w:val="008E2C9D"/>
    <w:rsid w:val="008E2DF5"/>
    <w:rsid w:val="008E48E7"/>
    <w:rsid w:val="00903D37"/>
    <w:rsid w:val="0090577E"/>
    <w:rsid w:val="009071EC"/>
    <w:rsid w:val="009105D2"/>
    <w:rsid w:val="00922591"/>
    <w:rsid w:val="00930713"/>
    <w:rsid w:val="00931C3D"/>
    <w:rsid w:val="00935069"/>
    <w:rsid w:val="00936E81"/>
    <w:rsid w:val="00946D51"/>
    <w:rsid w:val="0095144F"/>
    <w:rsid w:val="009545BA"/>
    <w:rsid w:val="00962A95"/>
    <w:rsid w:val="0096670B"/>
    <w:rsid w:val="00985237"/>
    <w:rsid w:val="009873F8"/>
    <w:rsid w:val="009875DD"/>
    <w:rsid w:val="009A2E63"/>
    <w:rsid w:val="009A404D"/>
    <w:rsid w:val="009A6F9D"/>
    <w:rsid w:val="009B3538"/>
    <w:rsid w:val="009C1D99"/>
    <w:rsid w:val="009C53D7"/>
    <w:rsid w:val="009C66EA"/>
    <w:rsid w:val="009D7D04"/>
    <w:rsid w:val="009E7ED5"/>
    <w:rsid w:val="009F362F"/>
    <w:rsid w:val="00A028ED"/>
    <w:rsid w:val="00A066E7"/>
    <w:rsid w:val="00A07A6F"/>
    <w:rsid w:val="00A477D7"/>
    <w:rsid w:val="00A57D37"/>
    <w:rsid w:val="00A636D9"/>
    <w:rsid w:val="00A703EE"/>
    <w:rsid w:val="00A715C2"/>
    <w:rsid w:val="00A861CE"/>
    <w:rsid w:val="00A91D31"/>
    <w:rsid w:val="00A93D5F"/>
    <w:rsid w:val="00A969B0"/>
    <w:rsid w:val="00AA123D"/>
    <w:rsid w:val="00AA1958"/>
    <w:rsid w:val="00AA4196"/>
    <w:rsid w:val="00AA5C7F"/>
    <w:rsid w:val="00AB7B47"/>
    <w:rsid w:val="00AD2BFE"/>
    <w:rsid w:val="00AD3639"/>
    <w:rsid w:val="00AD56CB"/>
    <w:rsid w:val="00AF7D6B"/>
    <w:rsid w:val="00B10E5C"/>
    <w:rsid w:val="00B15262"/>
    <w:rsid w:val="00B16605"/>
    <w:rsid w:val="00B17456"/>
    <w:rsid w:val="00B2514B"/>
    <w:rsid w:val="00B25BB5"/>
    <w:rsid w:val="00B54A51"/>
    <w:rsid w:val="00B55A25"/>
    <w:rsid w:val="00B626B5"/>
    <w:rsid w:val="00B67DD0"/>
    <w:rsid w:val="00B705F8"/>
    <w:rsid w:val="00B70F8E"/>
    <w:rsid w:val="00B7430A"/>
    <w:rsid w:val="00B76036"/>
    <w:rsid w:val="00B90BD3"/>
    <w:rsid w:val="00B9120A"/>
    <w:rsid w:val="00B9121B"/>
    <w:rsid w:val="00BA0231"/>
    <w:rsid w:val="00BA2C64"/>
    <w:rsid w:val="00BA502A"/>
    <w:rsid w:val="00BC2A15"/>
    <w:rsid w:val="00BD08C1"/>
    <w:rsid w:val="00BD462A"/>
    <w:rsid w:val="00BD7F7B"/>
    <w:rsid w:val="00BE55A5"/>
    <w:rsid w:val="00C04135"/>
    <w:rsid w:val="00C11A93"/>
    <w:rsid w:val="00C22661"/>
    <w:rsid w:val="00C3347F"/>
    <w:rsid w:val="00C34C8C"/>
    <w:rsid w:val="00C40F81"/>
    <w:rsid w:val="00C44A30"/>
    <w:rsid w:val="00C628A3"/>
    <w:rsid w:val="00C675CF"/>
    <w:rsid w:val="00C755A8"/>
    <w:rsid w:val="00C866B1"/>
    <w:rsid w:val="00C9144C"/>
    <w:rsid w:val="00C91FBF"/>
    <w:rsid w:val="00C937E4"/>
    <w:rsid w:val="00CC056D"/>
    <w:rsid w:val="00CC31C6"/>
    <w:rsid w:val="00CE647F"/>
    <w:rsid w:val="00CE79BF"/>
    <w:rsid w:val="00CF6080"/>
    <w:rsid w:val="00D10069"/>
    <w:rsid w:val="00D13999"/>
    <w:rsid w:val="00D23D71"/>
    <w:rsid w:val="00D26B0A"/>
    <w:rsid w:val="00D451FC"/>
    <w:rsid w:val="00D47258"/>
    <w:rsid w:val="00D60128"/>
    <w:rsid w:val="00D90C9B"/>
    <w:rsid w:val="00D916EA"/>
    <w:rsid w:val="00D96A9B"/>
    <w:rsid w:val="00D9759D"/>
    <w:rsid w:val="00DB2CD1"/>
    <w:rsid w:val="00DB51A2"/>
    <w:rsid w:val="00DC1DB2"/>
    <w:rsid w:val="00DC320F"/>
    <w:rsid w:val="00DD1498"/>
    <w:rsid w:val="00DD3C0E"/>
    <w:rsid w:val="00DD629E"/>
    <w:rsid w:val="00DE06EB"/>
    <w:rsid w:val="00DE0FF6"/>
    <w:rsid w:val="00DE293D"/>
    <w:rsid w:val="00DE6EB5"/>
    <w:rsid w:val="00DE77A6"/>
    <w:rsid w:val="00DE7ECA"/>
    <w:rsid w:val="00DF311D"/>
    <w:rsid w:val="00DF4493"/>
    <w:rsid w:val="00DF53EF"/>
    <w:rsid w:val="00E05EF8"/>
    <w:rsid w:val="00E05F70"/>
    <w:rsid w:val="00E235BA"/>
    <w:rsid w:val="00E356D4"/>
    <w:rsid w:val="00E43304"/>
    <w:rsid w:val="00E46031"/>
    <w:rsid w:val="00E62F3F"/>
    <w:rsid w:val="00E64955"/>
    <w:rsid w:val="00E76D8B"/>
    <w:rsid w:val="00E825C2"/>
    <w:rsid w:val="00E836B3"/>
    <w:rsid w:val="00EA4DBB"/>
    <w:rsid w:val="00EA7D82"/>
    <w:rsid w:val="00EC1643"/>
    <w:rsid w:val="00ED3FDE"/>
    <w:rsid w:val="00EE729D"/>
    <w:rsid w:val="00EF0736"/>
    <w:rsid w:val="00EF086E"/>
    <w:rsid w:val="00F215BD"/>
    <w:rsid w:val="00F22061"/>
    <w:rsid w:val="00F23FCF"/>
    <w:rsid w:val="00F31E1B"/>
    <w:rsid w:val="00F43DD8"/>
    <w:rsid w:val="00F462C3"/>
    <w:rsid w:val="00F54BB9"/>
    <w:rsid w:val="00F6772F"/>
    <w:rsid w:val="00F72B59"/>
    <w:rsid w:val="00F91830"/>
    <w:rsid w:val="00F97217"/>
    <w:rsid w:val="00F97793"/>
    <w:rsid w:val="00F97FEB"/>
    <w:rsid w:val="00FB2782"/>
    <w:rsid w:val="00FC314C"/>
    <w:rsid w:val="00FD0FA5"/>
    <w:rsid w:val="00FD30CF"/>
    <w:rsid w:val="00FD4A19"/>
    <w:rsid w:val="00FE03A4"/>
    <w:rsid w:val="00FE08A1"/>
    <w:rsid w:val="00FE2B8A"/>
    <w:rsid w:val="00FF5100"/>
    <w:rsid w:val="00FF5D42"/>
    <w:rsid w:val="3616725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2A8F25"/>
  <w15:docId w15:val="{F42B92CE-954D-440C-9130-722C315F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paragraph" w:styleId="Lgende">
    <w:name w:val="caption"/>
    <w:basedOn w:val="Normal"/>
    <w:next w:val="Normal"/>
    <w:link w:val="LgendeCar"/>
    <w:uiPriority w:val="35"/>
    <w:unhideWhenUsed/>
    <w:qFormat/>
    <w:pPr>
      <w:spacing w:after="0" w:line="240" w:lineRule="auto"/>
    </w:pPr>
    <w:rPr>
      <w:rFonts w:ascii="Constantia" w:eastAsia="Times New Roman" w:hAnsi="Constantia" w:cs="Calibri"/>
      <w:b/>
      <w:bCs/>
      <w:sz w:val="20"/>
      <w:szCs w:val="20"/>
      <w:lang w:eastAsia="fr-FR"/>
    </w:rPr>
  </w:style>
  <w:style w:type="character" w:styleId="Marquedecommentaire">
    <w:name w:val="annotation reference"/>
    <w:basedOn w:val="Policepardfaut"/>
    <w:qFormat/>
    <w:rPr>
      <w:rFonts w:cs="Times New Roman"/>
      <w:sz w:val="16"/>
      <w:szCs w:val="16"/>
    </w:rPr>
  </w:style>
  <w:style w:type="paragraph" w:styleId="Commentaire">
    <w:name w:val="annotation text"/>
    <w:basedOn w:val="Normal"/>
    <w:link w:val="CommentaireCar"/>
    <w:qFormat/>
    <w:pPr>
      <w:spacing w:after="200" w:line="240" w:lineRule="auto"/>
      <w:ind w:left="576" w:hanging="576"/>
      <w:jc w:val="both"/>
    </w:pPr>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qFormat/>
    <w:pPr>
      <w:spacing w:after="160"/>
      <w:ind w:left="0" w:firstLine="0"/>
      <w:jc w:val="left"/>
    </w:pPr>
    <w:rPr>
      <w:rFonts w:asciiTheme="minorHAnsi" w:eastAsiaTheme="minorHAnsi" w:hAnsiTheme="minorHAnsi" w:cstheme="minorBidi"/>
      <w:b/>
      <w:bCs/>
      <w:lang w:eastAsia="en-US"/>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Pardeliste">
    <w:name w:val="List Paragraph"/>
    <w:aliases w:val="Citation List,본문(내용),List Paragraph (numbered (a)),Bullets,Liste 1,References,ReferencesCxSpLast,List Paragraph nowy,Numbered List Paragraph,Colorful List - Accent 11,List Bullet Mary,List Paragraph1,List_Paragraph,Akapit z listą BS"/>
    <w:basedOn w:val="Normal"/>
    <w:link w:val="PardelisteCar"/>
    <w:uiPriority w:val="34"/>
    <w:qFormat/>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delisteCar">
    <w:name w:val="Par. de liste Car"/>
    <w:aliases w:val="Citation List Car,본문(내용) Car,List Paragraph (numbered (a)) Car,Bullets Car,Liste 1 Car,References Car,ReferencesCxSpLast Car,List Paragraph nowy Car,Numbered List Paragraph Car,Colorful List - Accent 11 Car,List Bullet Mary Car"/>
    <w:basedOn w:val="Policepardfaut"/>
    <w:link w:val="Pardeliste"/>
    <w:uiPriority w:val="34"/>
    <w:qFormat/>
    <w:locked/>
    <w:rPr>
      <w:rFonts w:ascii="Times New Roman" w:eastAsia="Times New Roman" w:hAnsi="Times New Roman" w:cs="Times New Roman"/>
      <w:sz w:val="24"/>
      <w:szCs w:val="20"/>
      <w:lang w:eastAsia="fr-FR"/>
    </w:rPr>
  </w:style>
  <w:style w:type="paragraph" w:customStyle="1" w:styleId="Revision1">
    <w:name w:val="Revision1"/>
    <w:hidden/>
    <w:uiPriority w:val="99"/>
    <w:semiHidden/>
    <w:rPr>
      <w:sz w:val="22"/>
      <w:szCs w:val="22"/>
      <w:lang w:val="fr-FR"/>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paragraph" w:customStyle="1" w:styleId="Normal4">
    <w:name w:val="Normal_4"/>
    <w:qFormat/>
    <w:pPr>
      <w:spacing w:after="160" w:line="259" w:lineRule="auto"/>
      <w:outlineLvl w:val="3"/>
    </w:pPr>
    <w:rPr>
      <w:rFonts w:ascii="Calibri" w:hAnsi="Calibri"/>
      <w:b/>
      <w:color w:val="172D5F"/>
      <w:sz w:val="22"/>
      <w:szCs w:val="22"/>
    </w:rPr>
  </w:style>
  <w:style w:type="character" w:customStyle="1" w:styleId="LgendeCar">
    <w:name w:val="Légende Car"/>
    <w:basedOn w:val="Policepardfaut"/>
    <w:link w:val="Lgende"/>
    <w:uiPriority w:val="35"/>
    <w:qFormat/>
    <w:rPr>
      <w:rFonts w:ascii="Constantia" w:eastAsia="Times New Roman" w:hAnsi="Constantia" w:cs="Calibri"/>
      <w:b/>
      <w:bCs/>
      <w:sz w:val="20"/>
      <w:szCs w:val="20"/>
      <w:lang w:eastAsia="fr-FR"/>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0"/>
      <w:lang w:eastAsia="fr-FR"/>
    </w:rPr>
  </w:style>
  <w:style w:type="table" w:customStyle="1" w:styleId="TableGrid">
    <w:name w:val="TableGrid"/>
    <w:qFormat/>
    <w:rPr>
      <w:lang w:eastAsia="fr-FR"/>
    </w:rPr>
    <w:tblPr>
      <w:tblCellMar>
        <w:top w:w="0" w:type="dxa"/>
        <w:left w:w="0" w:type="dxa"/>
        <w:bottom w:w="0" w:type="dxa"/>
        <w:right w:w="0" w:type="dxa"/>
      </w:tblCellMar>
    </w:tbl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eastAsia="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Rvision">
    <w:name w:val="Revision"/>
    <w:hidden/>
    <w:uiPriority w:val="99"/>
    <w:unhideWhenUsed/>
    <w:rsid w:val="00A715C2"/>
    <w:rPr>
      <w:sz w:val="22"/>
      <w:szCs w:val="22"/>
      <w:lang w:val="fr-FR"/>
    </w:rPr>
  </w:style>
  <w:style w:type="paragraph" w:customStyle="1" w:styleId="BankNormal">
    <w:name w:val="BankNormal"/>
    <w:basedOn w:val="Normal"/>
    <w:rsid w:val="00EC1643"/>
    <w:pPr>
      <w:spacing w:after="240" w:line="240" w:lineRule="auto"/>
    </w:pPr>
    <w:rPr>
      <w:rFonts w:ascii="Times New Roman" w:eastAsia="Times New Roman" w:hAnsi="Times New Roman" w:cs="Times New Roman"/>
      <w:sz w:val="24"/>
      <w:szCs w:val="20"/>
      <w:lang w:val="en-US"/>
    </w:rPr>
  </w:style>
  <w:style w:type="character" w:customStyle="1" w:styleId="UnresolvedMention">
    <w:name w:val="Unresolved Mention"/>
    <w:basedOn w:val="Policepardfaut"/>
    <w:uiPriority w:val="99"/>
    <w:semiHidden/>
    <w:unhideWhenUsed/>
    <w:rsid w:val="00F31E1B"/>
    <w:rPr>
      <w:color w:val="605E5C"/>
      <w:shd w:val="clear" w:color="auto" w:fill="E1DFDD"/>
    </w:rPr>
  </w:style>
  <w:style w:type="paragraph" w:customStyle="1" w:styleId="Default">
    <w:name w:val="Default"/>
    <w:rsid w:val="00A07A6F"/>
    <w:pPr>
      <w:autoSpaceDE w:val="0"/>
      <w:autoSpaceDN w:val="0"/>
      <w:adjustRightInd w:val="0"/>
    </w:pPr>
    <w:rPr>
      <w:rFonts w:ascii="Times New Roman" w:eastAsiaTheme="minorHAnsi" w:hAnsi="Times New Roman" w:cs="Times New Roman"/>
      <w:color w:val="000000"/>
      <w:sz w:val="24"/>
      <w:szCs w:val="24"/>
      <w14:ligatures w14:val="standardContextual"/>
    </w:rPr>
  </w:style>
  <w:style w:type="character" w:styleId="Lienhypertextevisit">
    <w:name w:val="FollowedHyperlink"/>
    <w:basedOn w:val="Policepardfaut"/>
    <w:uiPriority w:val="99"/>
    <w:semiHidden/>
    <w:unhideWhenUsed/>
    <w:rsid w:val="00593EB1"/>
    <w:rPr>
      <w:color w:val="954F72" w:themeColor="followedHyperlink"/>
      <w:u w:val="single"/>
    </w:rPr>
  </w:style>
  <w:style w:type="character" w:styleId="Appelnotedebasdep">
    <w:name w:val="footnote reference"/>
    <w:basedOn w:val="Policepardfaut"/>
    <w:link w:val="FNRefeCharChar"/>
    <w:uiPriority w:val="99"/>
    <w:unhideWhenUsed/>
    <w:qFormat/>
    <w:rsid w:val="00B705F8"/>
    <w:rPr>
      <w:vertAlign w:val="superscript"/>
    </w:rPr>
  </w:style>
  <w:style w:type="paragraph" w:customStyle="1" w:styleId="FNRefeCharChar">
    <w:name w:val="FNRefe Char Char"/>
    <w:basedOn w:val="Normal"/>
    <w:link w:val="Appelnotedebasdep"/>
    <w:uiPriority w:val="99"/>
    <w:qFormat/>
    <w:rsid w:val="00B705F8"/>
    <w:pPr>
      <w:spacing w:line="240" w:lineRule="exact"/>
    </w:pPr>
    <w:rPr>
      <w:sz w:val="20"/>
      <w:szCs w:val="20"/>
      <w:vertAlign w:val="superscript"/>
      <w:lang w:val="en-US"/>
    </w:rPr>
  </w:style>
  <w:style w:type="paragraph" w:styleId="Notedebasdepage">
    <w:name w:val="footnote text"/>
    <w:basedOn w:val="Normal"/>
    <w:link w:val="NotedebasdepageCar"/>
    <w:uiPriority w:val="99"/>
    <w:unhideWhenUsed/>
    <w:qFormat/>
    <w:rsid w:val="00B705F8"/>
    <w:pPr>
      <w:widowControl w:val="0"/>
      <w:autoSpaceDE w:val="0"/>
      <w:autoSpaceDN w:val="0"/>
      <w:adjustRightInd w:val="0"/>
      <w:spacing w:after="0" w:line="240" w:lineRule="auto"/>
    </w:pPr>
    <w:rPr>
      <w:rFonts w:cs="Arial"/>
      <w:color w:val="000000"/>
      <w:sz w:val="18"/>
      <w:szCs w:val="20"/>
    </w:rPr>
  </w:style>
  <w:style w:type="character" w:customStyle="1" w:styleId="NotedebasdepageCar">
    <w:name w:val="Note de bas de page Car"/>
    <w:basedOn w:val="Policepardfaut"/>
    <w:link w:val="Notedebasdepage"/>
    <w:uiPriority w:val="99"/>
    <w:qFormat/>
    <w:rsid w:val="00B705F8"/>
    <w:rPr>
      <w:rFonts w:cs="Arial"/>
      <w:color w:val="000000"/>
      <w:sz w:val="18"/>
      <w:lang w:val="fr-FR"/>
    </w:rPr>
  </w:style>
  <w:style w:type="paragraph" w:styleId="Sansinterligne">
    <w:name w:val="No Spacing"/>
    <w:uiPriority w:val="1"/>
    <w:qFormat/>
    <w:rsid w:val="00DE7ECA"/>
    <w:rPr>
      <w:rFonts w:ascii="Calibri" w:eastAsia="Calibri" w:hAnsi="Calibri" w:cs="Times New Roman"/>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ocurmentpaaeg2edg2025@gmail.com" TargetMode="External"/><Relationship Id="rId8" Type="http://schemas.openxmlformats.org/officeDocument/2006/relationships/hyperlink" Target="mailto:scbah@yahoo.fr" TargetMode="Externa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1838</Words>
  <Characters>10109</Characters>
  <Application>Microsoft Macintosh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DIARRA</dc:creator>
  <cp:lastModifiedBy>Microsoft Office User</cp:lastModifiedBy>
  <cp:revision>4</cp:revision>
  <cp:lastPrinted>2025-12-24T11:27:00Z</cp:lastPrinted>
  <dcterms:created xsi:type="dcterms:W3CDTF">2026-04-03T15:23:00Z</dcterms:created>
  <dcterms:modified xsi:type="dcterms:W3CDTF">2026-04-06T14:07:00Z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715F33C764B145E4B577F8AEE2235E58_13</vt:lpwstr>
  </property>
  <property fmtid="{D5CDD505-2E9C-101B-9397-08002B2CF9AE}" pid="4" name="ClassificationContentMarkingFooterShapeIds">
    <vt:lpwstr>52a50423,413ebecf,4e618496</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2025-08-13T15:02:54Z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2d76e303-bff4-49dc-a390-cbce5d874a3d</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