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sz w:val="20"/>
        </w:rPr>
      </w:pPr>
    </w:p>
    <w:p>
      <w:pPr>
        <w:pStyle w:val="BodyText"/>
        <w:spacing w:before="9"/>
        <w:rPr>
          <w:sz w:val="20"/>
        </w:rPr>
      </w:pPr>
    </w:p>
    <w:p>
      <w:pPr>
        <w:pStyle w:val="BodyText"/>
        <w:ind w:left="825" w:right="-15"/>
        <w:rPr>
          <w:sz w:val="20"/>
        </w:rPr>
      </w:pPr>
      <w:r>
        <w:rPr>
          <w:sz w:val="20"/>
        </w:rPr>
        <mc:AlternateContent>
          <mc:Choice Requires="wps">
            <w:drawing>
              <wp:inline distT="0" distB="0" distL="0" distR="0">
                <wp:extent cx="5571490" cy="1099820"/>
                <wp:effectExtent l="9525" t="0" r="0" b="5080"/>
                <wp:docPr id="1" name="Group 1"/>
                <wp:cNvGraphicFramePr>
                  <a:graphicFrameLocks/>
                </wp:cNvGraphicFramePr>
                <a:graphic>
                  <a:graphicData uri="http://schemas.microsoft.com/office/word/2010/wordprocessingGroup">
                    <wpg:wgp>
                      <wpg:cNvPr id="1" name="Group 1"/>
                      <wpg:cNvGrpSpPr/>
                      <wpg:grpSpPr>
                        <a:xfrm>
                          <a:off x="0" y="0"/>
                          <a:ext cx="5571490" cy="1099820"/>
                          <a:chExt cx="5571490" cy="1099820"/>
                        </a:xfrm>
                      </wpg:grpSpPr>
                      <wps:wsp>
                        <wps:cNvPr id="2" name="Textbox 2"/>
                        <wps:cNvSpPr txBox="1"/>
                        <wps:spPr>
                          <a:xfrm>
                            <a:off x="1426764" y="6176"/>
                            <a:ext cx="4138295" cy="1087120"/>
                          </a:xfrm>
                          <a:prstGeom prst="rect">
                            <a:avLst/>
                          </a:prstGeom>
                          <a:ln w="12352">
                            <a:solidFill>
                              <a:srgbClr val="000000"/>
                            </a:solidFill>
                            <a:prstDash val="solid"/>
                          </a:ln>
                        </wps:spPr>
                        <wps:txbx>
                          <w:txbxContent>
                            <w:p>
                              <w:pPr>
                                <w:spacing w:before="117"/>
                                <w:ind w:left="92" w:right="0" w:firstLine="0"/>
                                <w:jc w:val="left"/>
                                <w:rPr>
                                  <w:sz w:val="23"/>
                                </w:rPr>
                              </w:pPr>
                              <w:r>
                                <w:rPr>
                                  <w:color w:val="222222"/>
                                  <w:sz w:val="23"/>
                                </w:rPr>
                                <w:t>Samuel</w:t>
                              </w:r>
                              <w:r>
                                <w:rPr>
                                  <w:color w:val="222222"/>
                                  <w:spacing w:val="4"/>
                                  <w:sz w:val="23"/>
                                </w:rPr>
                                <w:t> </w:t>
                              </w:r>
                              <w:r>
                                <w:rPr>
                                  <w:color w:val="222222"/>
                                  <w:spacing w:val="-2"/>
                                  <w:sz w:val="23"/>
                                </w:rPr>
                                <w:t>Langat</w:t>
                              </w:r>
                            </w:p>
                            <w:p>
                              <w:pPr>
                                <w:spacing w:before="228"/>
                                <w:ind w:left="92" w:right="0" w:firstLine="0"/>
                                <w:jc w:val="left"/>
                                <w:rPr>
                                  <w:sz w:val="23"/>
                                </w:rPr>
                              </w:pPr>
                              <w:r>
                                <w:rPr>
                                  <w:color w:val="222222"/>
                                  <w:sz w:val="23"/>
                                </w:rPr>
                                <w:t>Fonction</w:t>
                              </w:r>
                              <w:r>
                                <w:rPr>
                                  <w:color w:val="222222"/>
                                  <w:spacing w:val="5"/>
                                  <w:sz w:val="23"/>
                                </w:rPr>
                                <w:t> </w:t>
                              </w:r>
                              <w:r>
                                <w:rPr>
                                  <w:color w:val="222222"/>
                                  <w:sz w:val="23"/>
                                </w:rPr>
                                <w:t>:</w:t>
                              </w:r>
                              <w:r>
                                <w:rPr>
                                  <w:color w:val="222222"/>
                                  <w:spacing w:val="5"/>
                                  <w:sz w:val="23"/>
                                </w:rPr>
                                <w:t> </w:t>
                              </w:r>
                              <w:r>
                                <w:rPr>
                                  <w:color w:val="222222"/>
                                  <w:sz w:val="23"/>
                                </w:rPr>
                                <w:t>Responsable</w:t>
                              </w:r>
                              <w:r>
                                <w:rPr>
                                  <w:color w:val="222222"/>
                                  <w:spacing w:val="5"/>
                                  <w:sz w:val="23"/>
                                </w:rPr>
                                <w:t> </w:t>
                              </w:r>
                              <w:r>
                                <w:rPr>
                                  <w:sz w:val="23"/>
                                </w:rPr>
                                <w:t>Afrique,</w:t>
                              </w:r>
                              <w:r>
                                <w:rPr>
                                  <w:spacing w:val="6"/>
                                  <w:sz w:val="23"/>
                                </w:rPr>
                                <w:t> </w:t>
                              </w:r>
                              <w:r>
                                <w:rPr>
                                  <w:spacing w:val="-4"/>
                                  <w:sz w:val="23"/>
                                </w:rPr>
                                <w:t>SATO</w:t>
                              </w:r>
                            </w:p>
                            <w:p>
                              <w:pPr>
                                <w:spacing w:before="228"/>
                                <w:ind w:left="92" w:right="0" w:firstLine="0"/>
                                <w:jc w:val="left"/>
                                <w:rPr>
                                  <w:sz w:val="23"/>
                                </w:rPr>
                              </w:pPr>
                              <w:r>
                                <w:rPr>
                                  <w:color w:val="222222"/>
                                  <w:sz w:val="23"/>
                                </w:rPr>
                                <w:t>Organisation:</w:t>
                              </w:r>
                              <w:r>
                                <w:rPr>
                                  <w:color w:val="222222"/>
                                  <w:spacing w:val="-2"/>
                                  <w:sz w:val="23"/>
                                </w:rPr>
                                <w:t> </w:t>
                              </w:r>
                              <w:r>
                                <w:rPr>
                                  <w:color w:val="222222"/>
                                  <w:sz w:val="23"/>
                                </w:rPr>
                                <w:t>SATO,</w:t>
                              </w:r>
                              <w:r>
                                <w:rPr>
                                  <w:color w:val="222222"/>
                                  <w:spacing w:val="-2"/>
                                  <w:sz w:val="23"/>
                                </w:rPr>
                                <w:t> </w:t>
                              </w:r>
                              <w:r>
                                <w:rPr>
                                  <w:color w:val="222222"/>
                                  <w:sz w:val="23"/>
                                </w:rPr>
                                <w:t>une</w:t>
                              </w:r>
                              <w:r>
                                <w:rPr>
                                  <w:color w:val="222222"/>
                                  <w:spacing w:val="-2"/>
                                  <w:sz w:val="23"/>
                                </w:rPr>
                                <w:t> </w:t>
                              </w:r>
                              <w:r>
                                <w:rPr>
                                  <w:color w:val="222222"/>
                                  <w:sz w:val="23"/>
                                </w:rPr>
                                <w:t>filiale</w:t>
                              </w:r>
                              <w:r>
                                <w:rPr>
                                  <w:color w:val="222222"/>
                                  <w:spacing w:val="-2"/>
                                  <w:sz w:val="23"/>
                                </w:rPr>
                                <w:t> </w:t>
                              </w:r>
                              <w:r>
                                <w:rPr>
                                  <w:color w:val="222222"/>
                                  <w:sz w:val="23"/>
                                </w:rPr>
                                <w:t>de</w:t>
                              </w:r>
                              <w:r>
                                <w:rPr>
                                  <w:color w:val="222222"/>
                                  <w:spacing w:val="-2"/>
                                  <w:sz w:val="23"/>
                                </w:rPr>
                                <w:t> LIXIL</w:t>
                              </w:r>
                            </w:p>
                          </w:txbxContent>
                        </wps:txbx>
                        <wps:bodyPr wrap="square" lIns="0" tIns="0" rIns="0" bIns="0" rtlCol="0">
                          <a:noAutofit/>
                        </wps:bodyPr>
                      </wps:wsp>
                      <wps:wsp>
                        <wps:cNvPr id="3" name="Textbox 3"/>
                        <wps:cNvSpPr txBox="1"/>
                        <wps:spPr>
                          <a:xfrm>
                            <a:off x="6176" y="6176"/>
                            <a:ext cx="1421130" cy="1087120"/>
                          </a:xfrm>
                          <a:prstGeom prst="rect">
                            <a:avLst/>
                          </a:prstGeom>
                          <a:ln w="12352">
                            <a:solidFill>
                              <a:srgbClr val="000000"/>
                            </a:solidFill>
                            <a:prstDash val="solid"/>
                          </a:ln>
                        </wps:spPr>
                        <wps:txbx>
                          <w:txbxContent>
                            <w:p>
                              <w:pPr>
                                <w:spacing w:before="117"/>
                                <w:ind w:left="82" w:right="0" w:firstLine="0"/>
                                <w:jc w:val="left"/>
                                <w:rPr>
                                  <w:b/>
                                  <w:sz w:val="23"/>
                                </w:rPr>
                              </w:pPr>
                              <w:r>
                                <w:rPr>
                                  <w:b/>
                                  <w:color w:val="222222"/>
                                  <w:sz w:val="23"/>
                                </w:rPr>
                                <w:t>Détails</w:t>
                              </w:r>
                              <w:r>
                                <w:rPr>
                                  <w:b/>
                                  <w:color w:val="222222"/>
                                  <w:spacing w:val="4"/>
                                  <w:sz w:val="23"/>
                                </w:rPr>
                                <w:t> </w:t>
                              </w:r>
                              <w:r>
                                <w:rPr>
                                  <w:b/>
                                  <w:color w:val="222222"/>
                                  <w:sz w:val="23"/>
                                </w:rPr>
                                <w:t>sur</w:t>
                              </w:r>
                              <w:r>
                                <w:rPr>
                                  <w:b/>
                                  <w:color w:val="222222"/>
                                  <w:spacing w:val="4"/>
                                  <w:sz w:val="23"/>
                                </w:rPr>
                                <w:t> </w:t>
                              </w:r>
                              <w:r>
                                <w:rPr>
                                  <w:b/>
                                  <w:color w:val="222222"/>
                                  <w:spacing w:val="-2"/>
                                  <w:sz w:val="23"/>
                                </w:rPr>
                                <w:t>l’auteur</w:t>
                              </w:r>
                            </w:p>
                          </w:txbxContent>
                        </wps:txbx>
                        <wps:bodyPr wrap="square" lIns="0" tIns="0" rIns="0" bIns="0" rtlCol="0">
                          <a:noAutofit/>
                        </wps:bodyPr>
                      </wps:wsp>
                    </wpg:wgp>
                  </a:graphicData>
                </a:graphic>
              </wp:inline>
            </w:drawing>
          </mc:Choice>
          <mc:Fallback>
            <w:pict>
              <v:group style="width:438.7pt;height:86.6pt;mso-position-horizontal-relative:char;mso-position-vertical-relative:line" id="docshapegroup1" coordorigin="0,0" coordsize="8774,1732">
                <v:shapetype id="_x0000_t202" o:spt="202" coordsize="21600,21600" path="m,l,21600r21600,l21600,xe">
                  <v:stroke joinstyle="miter"/>
                  <v:path gradientshapeok="t" o:connecttype="rect"/>
                </v:shapetype>
                <v:shape style="position:absolute;left:2246;top:9;width:6517;height:1712" type="#_x0000_t202" id="docshape2" filled="false" stroked="true" strokeweight=".972672pt" strokecolor="#000000">
                  <v:textbox inset="0,0,0,0">
                    <w:txbxContent>
                      <w:p>
                        <w:pPr>
                          <w:spacing w:before="117"/>
                          <w:ind w:left="92" w:right="0" w:firstLine="0"/>
                          <w:jc w:val="left"/>
                          <w:rPr>
                            <w:sz w:val="23"/>
                          </w:rPr>
                        </w:pPr>
                        <w:r>
                          <w:rPr>
                            <w:color w:val="222222"/>
                            <w:sz w:val="23"/>
                          </w:rPr>
                          <w:t>Samuel</w:t>
                        </w:r>
                        <w:r>
                          <w:rPr>
                            <w:color w:val="222222"/>
                            <w:spacing w:val="4"/>
                            <w:sz w:val="23"/>
                          </w:rPr>
                          <w:t> </w:t>
                        </w:r>
                        <w:r>
                          <w:rPr>
                            <w:color w:val="222222"/>
                            <w:spacing w:val="-2"/>
                            <w:sz w:val="23"/>
                          </w:rPr>
                          <w:t>Langat</w:t>
                        </w:r>
                      </w:p>
                      <w:p>
                        <w:pPr>
                          <w:spacing w:before="228"/>
                          <w:ind w:left="92" w:right="0" w:firstLine="0"/>
                          <w:jc w:val="left"/>
                          <w:rPr>
                            <w:sz w:val="23"/>
                          </w:rPr>
                        </w:pPr>
                        <w:r>
                          <w:rPr>
                            <w:color w:val="222222"/>
                            <w:sz w:val="23"/>
                          </w:rPr>
                          <w:t>Fonction</w:t>
                        </w:r>
                        <w:r>
                          <w:rPr>
                            <w:color w:val="222222"/>
                            <w:spacing w:val="5"/>
                            <w:sz w:val="23"/>
                          </w:rPr>
                          <w:t> </w:t>
                        </w:r>
                        <w:r>
                          <w:rPr>
                            <w:color w:val="222222"/>
                            <w:sz w:val="23"/>
                          </w:rPr>
                          <w:t>:</w:t>
                        </w:r>
                        <w:r>
                          <w:rPr>
                            <w:color w:val="222222"/>
                            <w:spacing w:val="5"/>
                            <w:sz w:val="23"/>
                          </w:rPr>
                          <w:t> </w:t>
                        </w:r>
                        <w:r>
                          <w:rPr>
                            <w:color w:val="222222"/>
                            <w:sz w:val="23"/>
                          </w:rPr>
                          <w:t>Responsable</w:t>
                        </w:r>
                        <w:r>
                          <w:rPr>
                            <w:color w:val="222222"/>
                            <w:spacing w:val="5"/>
                            <w:sz w:val="23"/>
                          </w:rPr>
                          <w:t> </w:t>
                        </w:r>
                        <w:r>
                          <w:rPr>
                            <w:sz w:val="23"/>
                          </w:rPr>
                          <w:t>Afrique,</w:t>
                        </w:r>
                        <w:r>
                          <w:rPr>
                            <w:spacing w:val="6"/>
                            <w:sz w:val="23"/>
                          </w:rPr>
                          <w:t> </w:t>
                        </w:r>
                        <w:r>
                          <w:rPr>
                            <w:spacing w:val="-4"/>
                            <w:sz w:val="23"/>
                          </w:rPr>
                          <w:t>SATO</w:t>
                        </w:r>
                      </w:p>
                      <w:p>
                        <w:pPr>
                          <w:spacing w:before="228"/>
                          <w:ind w:left="92" w:right="0" w:firstLine="0"/>
                          <w:jc w:val="left"/>
                          <w:rPr>
                            <w:sz w:val="23"/>
                          </w:rPr>
                        </w:pPr>
                        <w:r>
                          <w:rPr>
                            <w:color w:val="222222"/>
                            <w:sz w:val="23"/>
                          </w:rPr>
                          <w:t>Organisation:</w:t>
                        </w:r>
                        <w:r>
                          <w:rPr>
                            <w:color w:val="222222"/>
                            <w:spacing w:val="-2"/>
                            <w:sz w:val="23"/>
                          </w:rPr>
                          <w:t> </w:t>
                        </w:r>
                        <w:r>
                          <w:rPr>
                            <w:color w:val="222222"/>
                            <w:sz w:val="23"/>
                          </w:rPr>
                          <w:t>SATO,</w:t>
                        </w:r>
                        <w:r>
                          <w:rPr>
                            <w:color w:val="222222"/>
                            <w:spacing w:val="-2"/>
                            <w:sz w:val="23"/>
                          </w:rPr>
                          <w:t> </w:t>
                        </w:r>
                        <w:r>
                          <w:rPr>
                            <w:color w:val="222222"/>
                            <w:sz w:val="23"/>
                          </w:rPr>
                          <w:t>une</w:t>
                        </w:r>
                        <w:r>
                          <w:rPr>
                            <w:color w:val="222222"/>
                            <w:spacing w:val="-2"/>
                            <w:sz w:val="23"/>
                          </w:rPr>
                          <w:t> </w:t>
                        </w:r>
                        <w:r>
                          <w:rPr>
                            <w:color w:val="222222"/>
                            <w:sz w:val="23"/>
                          </w:rPr>
                          <w:t>filiale</w:t>
                        </w:r>
                        <w:r>
                          <w:rPr>
                            <w:color w:val="222222"/>
                            <w:spacing w:val="-2"/>
                            <w:sz w:val="23"/>
                          </w:rPr>
                          <w:t> </w:t>
                        </w:r>
                        <w:r>
                          <w:rPr>
                            <w:color w:val="222222"/>
                            <w:sz w:val="23"/>
                          </w:rPr>
                          <w:t>de</w:t>
                        </w:r>
                        <w:r>
                          <w:rPr>
                            <w:color w:val="222222"/>
                            <w:spacing w:val="-2"/>
                            <w:sz w:val="23"/>
                          </w:rPr>
                          <w:t> LIXIL</w:t>
                        </w:r>
                      </w:p>
                    </w:txbxContent>
                  </v:textbox>
                  <v:stroke dashstyle="solid"/>
                  <w10:wrap type="none"/>
                </v:shape>
                <v:shape style="position:absolute;left:9;top:9;width:2238;height:1712" type="#_x0000_t202" id="docshape3" filled="false" stroked="true" strokeweight=".972672pt" strokecolor="#000000">
                  <v:textbox inset="0,0,0,0">
                    <w:txbxContent>
                      <w:p>
                        <w:pPr>
                          <w:spacing w:before="117"/>
                          <w:ind w:left="82" w:right="0" w:firstLine="0"/>
                          <w:jc w:val="left"/>
                          <w:rPr>
                            <w:b/>
                            <w:sz w:val="23"/>
                          </w:rPr>
                        </w:pPr>
                        <w:r>
                          <w:rPr>
                            <w:b/>
                            <w:color w:val="222222"/>
                            <w:sz w:val="23"/>
                          </w:rPr>
                          <w:t>Détails</w:t>
                        </w:r>
                        <w:r>
                          <w:rPr>
                            <w:b/>
                            <w:color w:val="222222"/>
                            <w:spacing w:val="4"/>
                            <w:sz w:val="23"/>
                          </w:rPr>
                          <w:t> </w:t>
                        </w:r>
                        <w:r>
                          <w:rPr>
                            <w:b/>
                            <w:color w:val="222222"/>
                            <w:sz w:val="23"/>
                          </w:rPr>
                          <w:t>sur</w:t>
                        </w:r>
                        <w:r>
                          <w:rPr>
                            <w:b/>
                            <w:color w:val="222222"/>
                            <w:spacing w:val="4"/>
                            <w:sz w:val="23"/>
                          </w:rPr>
                          <w:t> </w:t>
                        </w:r>
                        <w:r>
                          <w:rPr>
                            <w:b/>
                            <w:color w:val="222222"/>
                            <w:spacing w:val="-2"/>
                            <w:sz w:val="23"/>
                          </w:rPr>
                          <w:t>l’auteur</w:t>
                        </w:r>
                      </w:p>
                    </w:txbxContent>
                  </v:textbox>
                  <v:stroke dashstyle="solid"/>
                  <w10:wrap type="none"/>
                </v:shape>
              </v:group>
            </w:pict>
          </mc:Fallback>
        </mc:AlternateContent>
      </w:r>
      <w:r>
        <w:rPr>
          <w:sz w:val="20"/>
        </w:rPr>
      </w:r>
    </w:p>
    <w:p>
      <w:pPr>
        <w:pStyle w:val="BodyText"/>
      </w:pPr>
    </w:p>
    <w:p>
      <w:pPr>
        <w:pStyle w:val="BodyText"/>
      </w:pPr>
    </w:p>
    <w:p>
      <w:pPr>
        <w:pStyle w:val="BodyText"/>
        <w:spacing w:before="5"/>
      </w:pPr>
    </w:p>
    <w:p>
      <w:pPr>
        <w:pStyle w:val="Title"/>
        <w:spacing w:line="280" w:lineRule="auto"/>
      </w:pPr>
      <w:r>
        <w:rPr/>
        <w:t>Atteindre 103 millions de personnes : Comment SATO fait progresser l’assainissement sûr en Afrique de l’Ouest</w:t>
      </w:r>
    </w:p>
    <w:p>
      <w:pPr>
        <w:pStyle w:val="BodyText"/>
        <w:spacing w:before="79"/>
        <w:rPr>
          <w:b/>
          <w:sz w:val="20"/>
        </w:rPr>
      </w:pPr>
      <w:r>
        <w:rPr>
          <w:b/>
          <w:sz w:val="20"/>
        </w:rPr>
        <w:drawing>
          <wp:anchor distT="0" distB="0" distL="0" distR="0" allowOverlap="1" layoutInCell="1" locked="0" behindDoc="1" simplePos="0" relativeHeight="487588352">
            <wp:simplePos x="0" y="0"/>
            <wp:positionH relativeFrom="page">
              <wp:posOffset>907941</wp:posOffset>
            </wp:positionH>
            <wp:positionV relativeFrom="paragraph">
              <wp:posOffset>212023</wp:posOffset>
            </wp:positionV>
            <wp:extent cx="5846739" cy="3288791"/>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5" cstate="print"/>
                    <a:stretch>
                      <a:fillRect/>
                    </a:stretch>
                  </pic:blipFill>
                  <pic:spPr>
                    <a:xfrm>
                      <a:off x="0" y="0"/>
                      <a:ext cx="5846739" cy="3288791"/>
                    </a:xfrm>
                    <a:prstGeom prst="rect">
                      <a:avLst/>
                    </a:prstGeom>
                  </pic:spPr>
                </pic:pic>
              </a:graphicData>
            </a:graphic>
          </wp:anchor>
        </w:drawing>
      </w:r>
    </w:p>
    <w:p>
      <w:pPr>
        <w:pStyle w:val="BodyText"/>
        <w:spacing w:before="80"/>
        <w:rPr>
          <w:b/>
        </w:rPr>
      </w:pPr>
    </w:p>
    <w:p>
      <w:pPr>
        <w:pStyle w:val="BodyText"/>
        <w:spacing w:line="280" w:lineRule="auto"/>
        <w:ind w:left="125" w:right="410"/>
        <w:jc w:val="both"/>
      </w:pPr>
      <w:r>
        <w:rPr/>
        <w:t>A travers l’Afrique de l’Ouest francophone, des millions de personnes vivent encore sans accès à des toilettes sûres, particulièrement dans les communautés rurales, les écoles et les camps de réfugiés.</w:t>
      </w:r>
      <w:r>
        <w:rPr>
          <w:spacing w:val="40"/>
        </w:rPr>
        <w:t> </w:t>
      </w:r>
      <w:r>
        <w:rPr/>
        <w:t>Les</w:t>
      </w:r>
      <w:r>
        <w:rPr>
          <w:spacing w:val="40"/>
        </w:rPr>
        <w:t> </w:t>
      </w:r>
      <w:r>
        <w:rPr/>
        <w:t>conséquences</w:t>
      </w:r>
      <w:r>
        <w:rPr>
          <w:spacing w:val="40"/>
        </w:rPr>
        <w:t> </w:t>
      </w:r>
      <w:r>
        <w:rPr/>
        <w:t>ne</w:t>
      </w:r>
      <w:r>
        <w:rPr>
          <w:spacing w:val="40"/>
        </w:rPr>
        <w:t> </w:t>
      </w:r>
      <w:r>
        <w:rPr/>
        <w:t>sont</w:t>
      </w:r>
      <w:r>
        <w:rPr>
          <w:spacing w:val="40"/>
        </w:rPr>
        <w:t> </w:t>
      </w:r>
      <w:r>
        <w:rPr/>
        <w:t>pas</w:t>
      </w:r>
      <w:r>
        <w:rPr>
          <w:spacing w:val="40"/>
        </w:rPr>
        <w:t> </w:t>
      </w:r>
      <w:r>
        <w:rPr/>
        <w:t>progressives,</w:t>
      </w:r>
      <w:r>
        <w:rPr>
          <w:spacing w:val="40"/>
        </w:rPr>
        <w:t> </w:t>
      </w:r>
      <w:r>
        <w:rPr/>
        <w:t>elles</w:t>
      </w:r>
      <w:r>
        <w:rPr>
          <w:spacing w:val="40"/>
        </w:rPr>
        <w:t> </w:t>
      </w:r>
      <w:r>
        <w:rPr/>
        <w:t>sont</w:t>
      </w:r>
      <w:r>
        <w:rPr>
          <w:spacing w:val="40"/>
        </w:rPr>
        <w:t> </w:t>
      </w:r>
      <w:r>
        <w:rPr/>
        <w:t>immédiates</w:t>
      </w:r>
      <w:r>
        <w:rPr>
          <w:spacing w:val="40"/>
        </w:rPr>
        <w:t> </w:t>
      </w:r>
      <w:r>
        <w:rPr/>
        <w:t>et sévères. Les enfants sont exposés à des maladies évitables. La santé maternelle est compromise. Des communautés</w:t>
      </w:r>
      <w:r>
        <w:rPr>
          <w:spacing w:val="38"/>
        </w:rPr>
        <w:t> </w:t>
      </w:r>
      <w:r>
        <w:rPr/>
        <w:t>entières</w:t>
      </w:r>
      <w:r>
        <w:rPr>
          <w:spacing w:val="38"/>
        </w:rPr>
        <w:t> </w:t>
      </w:r>
      <w:r>
        <w:rPr/>
        <w:t>demeurent</w:t>
      </w:r>
      <w:r>
        <w:rPr>
          <w:spacing w:val="38"/>
        </w:rPr>
        <w:t> </w:t>
      </w:r>
      <w:r>
        <w:rPr/>
        <w:t>vulnérables à des épidémies qui ne devraient plus faire partie</w:t>
      </w:r>
      <w:r>
        <w:rPr>
          <w:spacing w:val="40"/>
        </w:rPr>
        <w:t> </w:t>
      </w:r>
      <w:r>
        <w:rPr/>
        <w:t>de la vie quotidienne. Il ne s’agit pas d’un problème de développement marginal. C’est un défi systémique qui freine les progrès en matière de santé, d’éducation et de développement économique dans toute la région.</w:t>
      </w:r>
    </w:p>
    <w:p>
      <w:pPr>
        <w:pStyle w:val="BodyText"/>
        <w:spacing w:after="0" w:line="280" w:lineRule="auto"/>
        <w:jc w:val="both"/>
        <w:sectPr>
          <w:type w:val="continuous"/>
          <w:pgSz w:w="11910" w:h="16840"/>
          <w:pgMar w:top="1920" w:bottom="280" w:left="1275" w:right="992"/>
        </w:sectPr>
      </w:pPr>
    </w:p>
    <w:p>
      <w:pPr>
        <w:pStyle w:val="BodyText"/>
        <w:spacing w:line="280" w:lineRule="auto" w:before="181"/>
        <w:ind w:left="125" w:right="408"/>
        <w:jc w:val="both"/>
      </w:pPr>
      <w:r>
        <w:rPr/>
        <w:t>Le contexte mondial rend cette réalité encore plus difficile à ignorer. Plus de 3,4 milliards de personnes n’ont pas accès à un service d’assainissement géré en toute sécurité, et 354 millions de personnes pratiquent encore la défécation à l’air libre. L’assainissement non sécurisé est à</w:t>
      </w:r>
      <w:r>
        <w:rPr>
          <w:spacing w:val="40"/>
        </w:rPr>
        <w:t> </w:t>
      </w:r>
      <w:r>
        <w:rPr/>
        <w:t>l’origine</w:t>
      </w:r>
      <w:r>
        <w:rPr>
          <w:spacing w:val="35"/>
        </w:rPr>
        <w:t> </w:t>
      </w:r>
      <w:r>
        <w:rPr/>
        <w:t>de</w:t>
      </w:r>
      <w:r>
        <w:rPr>
          <w:spacing w:val="35"/>
        </w:rPr>
        <w:t> </w:t>
      </w:r>
      <w:r>
        <w:rPr/>
        <w:t>plus de 1</w:t>
      </w:r>
      <w:r>
        <w:rPr>
          <w:spacing w:val="-8"/>
        </w:rPr>
        <w:t> </w:t>
      </w:r>
      <w:r>
        <w:rPr/>
        <w:t>000 décès d’enfants chaque jour, dont des milliers en Afrique de l’Ouest. Ces chiffres ne sont pas abstraits, ils représentent des vies bien réelles, des scolarités</w:t>
      </w:r>
      <w:r>
        <w:rPr>
          <w:spacing w:val="80"/>
        </w:rPr>
        <w:t> </w:t>
      </w:r>
      <w:r>
        <w:rPr/>
        <w:t>interrompues, une perte de productivité et des communautés enfermées dans des cycles de maladies évitables et de pauvreté.</w:t>
      </w:r>
    </w:p>
    <w:p>
      <w:pPr>
        <w:pStyle w:val="BodyText"/>
        <w:spacing w:before="39"/>
      </w:pPr>
    </w:p>
    <w:p>
      <w:pPr>
        <w:pStyle w:val="BodyText"/>
        <w:spacing w:line="280" w:lineRule="auto"/>
        <w:ind w:left="125" w:right="409"/>
        <w:jc w:val="both"/>
      </w:pPr>
      <w:r>
        <w:rPr/>
        <w:t>Si des décennies d’efforts n’ont pas permis de résoudre ce problème, alors la question n’est pas tant</w:t>
      </w:r>
      <w:r>
        <w:rPr>
          <w:spacing w:val="22"/>
        </w:rPr>
        <w:t> </w:t>
      </w:r>
      <w:r>
        <w:rPr/>
        <w:t>l’ampleur de ce qui est fait, mais la manière dont cela est fait. Trop souvent, l’assainissement</w:t>
      </w:r>
      <w:r>
        <w:rPr>
          <w:spacing w:val="40"/>
        </w:rPr>
        <w:t> </w:t>
      </w:r>
      <w:r>
        <w:rPr/>
        <w:t>a été traité comme un bien public fourni à travers des interventions isolées. Or, il ne se développe pas à grande échelle par des projets ponctuels ou des solutions à court terme. Il atteint l’échelle lorsqu’il</w:t>
      </w:r>
      <w:r>
        <w:rPr>
          <w:spacing w:val="40"/>
        </w:rPr>
        <w:t> </w:t>
      </w:r>
      <w:r>
        <w:rPr/>
        <w:t>devient</w:t>
      </w:r>
      <w:r>
        <w:rPr>
          <w:spacing w:val="40"/>
        </w:rPr>
        <w:t> </w:t>
      </w:r>
      <w:r>
        <w:rPr/>
        <w:t>accessible,</w:t>
      </w:r>
      <w:r>
        <w:rPr>
          <w:spacing w:val="40"/>
        </w:rPr>
        <w:t> </w:t>
      </w:r>
      <w:r>
        <w:rPr/>
        <w:t>abordable</w:t>
      </w:r>
      <w:r>
        <w:rPr>
          <w:spacing w:val="40"/>
        </w:rPr>
        <w:t> </w:t>
      </w:r>
      <w:r>
        <w:rPr/>
        <w:t>et</w:t>
      </w:r>
      <w:r>
        <w:rPr>
          <w:spacing w:val="40"/>
        </w:rPr>
        <w:t> </w:t>
      </w:r>
      <w:r>
        <w:rPr/>
        <w:t>intégré</w:t>
      </w:r>
      <w:r>
        <w:rPr>
          <w:spacing w:val="40"/>
        </w:rPr>
        <w:t> </w:t>
      </w:r>
      <w:r>
        <w:rPr/>
        <w:t>dans</w:t>
      </w:r>
      <w:r>
        <w:rPr>
          <w:spacing w:val="40"/>
        </w:rPr>
        <w:t> </w:t>
      </w:r>
      <w:r>
        <w:rPr/>
        <w:t>des</w:t>
      </w:r>
      <w:r>
        <w:rPr>
          <w:spacing w:val="40"/>
        </w:rPr>
        <w:t> </w:t>
      </w:r>
      <w:r>
        <w:rPr/>
        <w:t>systèmes que les communautés peuvent maintenir durablement bien au-delà de la phase initiale de mise en œuvre.</w:t>
      </w:r>
    </w:p>
    <w:p>
      <w:pPr>
        <w:pStyle w:val="BodyText"/>
        <w:spacing w:before="40"/>
      </w:pPr>
    </w:p>
    <w:p>
      <w:pPr>
        <w:pStyle w:val="BodyText"/>
        <w:spacing w:line="280" w:lineRule="auto"/>
        <w:ind w:left="125" w:right="408"/>
        <w:jc w:val="both"/>
      </w:pPr>
      <w:r>
        <w:rPr/>
        <w:t>C’est ici qu’un modèle efficace commence à s’imposer. LIXIL, leader mondial des technologies</w:t>
      </w:r>
      <w:r>
        <w:rPr>
          <w:spacing w:val="40"/>
        </w:rPr>
        <w:t> </w:t>
      </w:r>
      <w:r>
        <w:rPr/>
        <w:t>de l’habitat, à travers sa marque SATO, a déjà touché 103</w:t>
      </w:r>
      <w:r>
        <w:rPr>
          <w:spacing w:val="-9"/>
        </w:rPr>
        <w:t> </w:t>
      </w:r>
      <w:r>
        <w:rPr/>
        <w:t>millions de personnes dans le monde, démontrant</w:t>
      </w:r>
      <w:r>
        <w:rPr>
          <w:spacing w:val="40"/>
        </w:rPr>
        <w:t> </w:t>
      </w:r>
      <w:r>
        <w:rPr/>
        <w:t>que</w:t>
      </w:r>
      <w:r>
        <w:rPr>
          <w:spacing w:val="40"/>
        </w:rPr>
        <w:t> </w:t>
      </w:r>
      <w:r>
        <w:rPr/>
        <w:t>l’innovation</w:t>
      </w:r>
      <w:r>
        <w:rPr>
          <w:spacing w:val="40"/>
        </w:rPr>
        <w:t> </w:t>
      </w:r>
      <w:r>
        <w:rPr/>
        <w:t>portée</w:t>
      </w:r>
      <w:r>
        <w:rPr>
          <w:spacing w:val="40"/>
        </w:rPr>
        <w:t> </w:t>
      </w:r>
      <w:r>
        <w:rPr/>
        <w:t>par le secteur privé peut opérer à l’échelle qu’exige cette crise. A travers l’Afrique de l’Ouest, SATO fournit aux ménages, aux écoles, aux établissements de santé et aux camps de réfugiés des solutions d’assainissement abordables, durables et adaptées aux contextes culturels. Chaque installation réduit directement l’exposition aux maladies, protège la santé maternelle et infantile, et améliore les pratiques d’hygiène communautaires, générant des bénéfices mesurables en matière de santé et d’éducation.</w:t>
      </w:r>
    </w:p>
    <w:p>
      <w:pPr>
        <w:pStyle w:val="BodyText"/>
      </w:pPr>
    </w:p>
    <w:p>
      <w:pPr>
        <w:pStyle w:val="BodyText"/>
        <w:spacing w:before="7"/>
      </w:pPr>
    </w:p>
    <w:p>
      <w:pPr>
        <w:spacing w:line="280" w:lineRule="auto" w:before="0"/>
        <w:ind w:left="125" w:right="407" w:firstLine="0"/>
        <w:jc w:val="both"/>
        <w:rPr>
          <w:i/>
          <w:sz w:val="23"/>
        </w:rPr>
      </w:pPr>
      <w:r>
        <w:rPr>
          <w:sz w:val="23"/>
        </w:rPr>
        <w:t>Samuel Langat, Responsable Afrique, SATO, souligne cette étape majeure : </w:t>
      </w:r>
      <w:r>
        <w:rPr>
          <w:i/>
          <w:sz w:val="23"/>
        </w:rPr>
        <w:t>"Cette étape</w:t>
      </w:r>
      <w:r>
        <w:rPr>
          <w:i/>
          <w:spacing w:val="80"/>
          <w:sz w:val="23"/>
        </w:rPr>
        <w:t> </w:t>
      </w:r>
      <w:r>
        <w:rPr>
          <w:i/>
          <w:sz w:val="23"/>
        </w:rPr>
        <w:t>constitue un progrès majeur vers le respect de la dignité et la santé à travers l’Afrique. Grâce au dévouement de notre équipe et de nos partenaires, des milliers de familles ont désormais accès à un assainissement sûr et nous sommes engagés à en atteindre beaucoup plus."</w:t>
      </w:r>
    </w:p>
    <w:p>
      <w:pPr>
        <w:spacing w:after="0" w:line="280" w:lineRule="auto"/>
        <w:jc w:val="both"/>
        <w:rPr>
          <w:i/>
          <w:sz w:val="23"/>
        </w:rPr>
        <w:sectPr>
          <w:pgSz w:w="11910" w:h="16840"/>
          <w:pgMar w:top="1920" w:bottom="280" w:left="1275" w:right="992"/>
        </w:sectPr>
      </w:pPr>
    </w:p>
    <w:p>
      <w:pPr>
        <w:pStyle w:val="BodyText"/>
        <w:rPr>
          <w:i/>
          <w:sz w:val="18"/>
        </w:rPr>
      </w:pPr>
    </w:p>
    <w:p>
      <w:pPr>
        <w:pStyle w:val="BodyText"/>
        <w:ind w:left="154"/>
        <w:rPr>
          <w:sz w:val="20"/>
        </w:rPr>
      </w:pPr>
      <w:r>
        <w:rPr>
          <w:sz w:val="20"/>
        </w:rPr>
        <w:drawing>
          <wp:inline distT="0" distB="0" distL="0" distR="0">
            <wp:extent cx="5852160" cy="3291840"/>
            <wp:effectExtent l="0" t="0" r="0" b="0"/>
            <wp:docPr id="5" name="Image 5"/>
            <wp:cNvGraphicFramePr>
              <a:graphicFrameLocks/>
            </wp:cNvGraphicFramePr>
            <a:graphic>
              <a:graphicData uri="http://schemas.openxmlformats.org/drawingml/2006/picture">
                <pic:pic>
                  <pic:nvPicPr>
                    <pic:cNvPr id="5" name="Image 5"/>
                    <pic:cNvPicPr/>
                  </pic:nvPicPr>
                  <pic:blipFill>
                    <a:blip r:embed="rId6" cstate="print"/>
                    <a:stretch>
                      <a:fillRect/>
                    </a:stretch>
                  </pic:blipFill>
                  <pic:spPr>
                    <a:xfrm>
                      <a:off x="0" y="0"/>
                      <a:ext cx="5852160" cy="3291840"/>
                    </a:xfrm>
                    <a:prstGeom prst="rect">
                      <a:avLst/>
                    </a:prstGeom>
                  </pic:spPr>
                </pic:pic>
              </a:graphicData>
            </a:graphic>
          </wp:inline>
        </w:drawing>
      </w:r>
      <w:r>
        <w:rPr>
          <w:sz w:val="20"/>
        </w:rPr>
      </w:r>
    </w:p>
    <w:p>
      <w:pPr>
        <w:pStyle w:val="BodyText"/>
        <w:spacing w:before="75"/>
        <w:rPr>
          <w:i/>
        </w:rPr>
      </w:pPr>
    </w:p>
    <w:p>
      <w:pPr>
        <w:pStyle w:val="BodyText"/>
        <w:spacing w:line="280" w:lineRule="auto"/>
        <w:ind w:left="125" w:right="408"/>
        <w:jc w:val="both"/>
      </w:pPr>
      <w:r>
        <w:rPr/>
        <w:t>Ce qui distingue SATO, c’est que l’accès seul ne suffit pas. Les solutions d’assainissement</w:t>
      </w:r>
      <w:r>
        <w:rPr>
          <w:spacing w:val="80"/>
        </w:rPr>
        <w:t> </w:t>
      </w:r>
      <w:r>
        <w:rPr/>
        <w:t>doivent</w:t>
      </w:r>
      <w:r>
        <w:rPr>
          <w:spacing w:val="23"/>
        </w:rPr>
        <w:t> </w:t>
      </w:r>
      <w:r>
        <w:rPr/>
        <w:t>être</w:t>
      </w:r>
      <w:r>
        <w:rPr>
          <w:spacing w:val="23"/>
        </w:rPr>
        <w:t> </w:t>
      </w:r>
      <w:r>
        <w:rPr/>
        <w:t>désirables,</w:t>
      </w:r>
      <w:r>
        <w:rPr>
          <w:spacing w:val="23"/>
        </w:rPr>
        <w:t> </w:t>
      </w:r>
      <w:r>
        <w:rPr/>
        <w:t>abordables</w:t>
      </w:r>
      <w:r>
        <w:rPr>
          <w:spacing w:val="23"/>
        </w:rPr>
        <w:t> </w:t>
      </w:r>
      <w:r>
        <w:rPr/>
        <w:t>et</w:t>
      </w:r>
      <w:r>
        <w:rPr>
          <w:spacing w:val="23"/>
        </w:rPr>
        <w:t> </w:t>
      </w:r>
      <w:r>
        <w:rPr/>
        <w:t>pratiques.</w:t>
      </w:r>
      <w:r>
        <w:rPr>
          <w:spacing w:val="23"/>
        </w:rPr>
        <w:t> </w:t>
      </w:r>
      <w:r>
        <w:rPr/>
        <w:t>Lorsque</w:t>
      </w:r>
      <w:r>
        <w:rPr>
          <w:spacing w:val="23"/>
        </w:rPr>
        <w:t> </w:t>
      </w:r>
      <w:r>
        <w:rPr/>
        <w:t>les populations accordent de la valeur à ce qu’elles utilisent, elles l’entretiennent. Et lorsqu’elles l’entretiennent, les comportements évoluent, non seulement au niveau des ménages, mais à l’échelle de communautés entières. Les ménages qui adoptent les produits SATO deviennent des modèles, inspirant leurs voisins et déclenchant</w:t>
      </w:r>
      <w:r>
        <w:rPr>
          <w:spacing w:val="23"/>
        </w:rPr>
        <w:t> </w:t>
      </w:r>
      <w:r>
        <w:rPr/>
        <w:t>des</w:t>
      </w:r>
      <w:r>
        <w:rPr>
          <w:spacing w:val="23"/>
        </w:rPr>
        <w:t> </w:t>
      </w:r>
      <w:r>
        <w:rPr/>
        <w:t>changements</w:t>
      </w:r>
      <w:r>
        <w:rPr>
          <w:spacing w:val="23"/>
        </w:rPr>
        <w:t> </w:t>
      </w:r>
      <w:r>
        <w:rPr/>
        <w:t>durables,</w:t>
      </w:r>
      <w:r>
        <w:rPr>
          <w:spacing w:val="23"/>
        </w:rPr>
        <w:t> </w:t>
      </w:r>
      <w:r>
        <w:rPr/>
        <w:t>passant</w:t>
      </w:r>
      <w:r>
        <w:rPr>
          <w:spacing w:val="23"/>
        </w:rPr>
        <w:t> </w:t>
      </w:r>
      <w:r>
        <w:rPr/>
        <w:t>de la défécation à l’air libre à des pratiques sûres et dignes.</w:t>
      </w:r>
    </w:p>
    <w:p>
      <w:pPr>
        <w:pStyle w:val="BodyText"/>
      </w:pPr>
    </w:p>
    <w:p>
      <w:pPr>
        <w:pStyle w:val="BodyText"/>
        <w:spacing w:before="8"/>
      </w:pPr>
    </w:p>
    <w:p>
      <w:pPr>
        <w:pStyle w:val="BodyText"/>
        <w:spacing w:line="280" w:lineRule="auto"/>
        <w:ind w:left="125" w:right="409"/>
        <w:jc w:val="both"/>
      </w:pPr>
      <w:r>
        <w:rPr/>
        <w:t>Les enjeux ne pourraient être plus importants. Les femmes enceintes vivant en milieu rural sont confrontées</w:t>
      </w:r>
      <w:r>
        <w:rPr>
          <w:spacing w:val="38"/>
        </w:rPr>
        <w:t> </w:t>
      </w:r>
      <w:r>
        <w:rPr/>
        <w:t>à</w:t>
      </w:r>
      <w:r>
        <w:rPr>
          <w:spacing w:val="38"/>
        </w:rPr>
        <w:t> </w:t>
      </w:r>
      <w:r>
        <w:rPr/>
        <w:t>des</w:t>
      </w:r>
      <w:r>
        <w:rPr>
          <w:spacing w:val="38"/>
        </w:rPr>
        <w:t> </w:t>
      </w:r>
      <w:r>
        <w:rPr/>
        <w:t>conditions</w:t>
      </w:r>
      <w:r>
        <w:rPr>
          <w:spacing w:val="38"/>
        </w:rPr>
        <w:t> </w:t>
      </w:r>
      <w:r>
        <w:rPr/>
        <w:t>insalubres</w:t>
      </w:r>
      <w:r>
        <w:rPr>
          <w:spacing w:val="38"/>
        </w:rPr>
        <w:t> </w:t>
      </w:r>
      <w:r>
        <w:rPr/>
        <w:t>qui augmentent les risques de blessures et d’infections. Les enfants restent exposés à des maladies d’origine hydrique telles que la diarrhée et le choléra, tandis</w:t>
      </w:r>
      <w:r>
        <w:rPr>
          <w:spacing w:val="37"/>
        </w:rPr>
        <w:t> </w:t>
      </w:r>
      <w:r>
        <w:rPr/>
        <w:t>que</w:t>
      </w:r>
      <w:r>
        <w:rPr>
          <w:spacing w:val="37"/>
        </w:rPr>
        <w:t> </w:t>
      </w:r>
      <w:r>
        <w:rPr/>
        <w:t>la scolarisation des filles pâtit de l’absence d’installations sanitaires sûres et privées. Ces</w:t>
      </w:r>
      <w:r>
        <w:rPr>
          <w:spacing w:val="25"/>
        </w:rPr>
        <w:t> </w:t>
      </w:r>
      <w:r>
        <w:rPr/>
        <w:t>problèmes</w:t>
      </w:r>
      <w:r>
        <w:rPr>
          <w:spacing w:val="25"/>
        </w:rPr>
        <w:t> </w:t>
      </w:r>
      <w:r>
        <w:rPr/>
        <w:t>sont</w:t>
      </w:r>
      <w:r>
        <w:rPr>
          <w:spacing w:val="25"/>
        </w:rPr>
        <w:t> </w:t>
      </w:r>
      <w:r>
        <w:rPr/>
        <w:t>étroitement</w:t>
      </w:r>
      <w:r>
        <w:rPr>
          <w:spacing w:val="25"/>
        </w:rPr>
        <w:t> </w:t>
      </w:r>
      <w:r>
        <w:rPr/>
        <w:t>liés</w:t>
      </w:r>
      <w:r>
        <w:rPr>
          <w:spacing w:val="25"/>
        </w:rPr>
        <w:t> </w:t>
      </w:r>
      <w:r>
        <w:rPr/>
        <w:t>;</w:t>
      </w:r>
      <w:r>
        <w:rPr>
          <w:spacing w:val="25"/>
        </w:rPr>
        <w:t> </w:t>
      </w:r>
      <w:r>
        <w:rPr/>
        <w:t>l’insalubrité</w:t>
      </w:r>
      <w:r>
        <w:rPr>
          <w:spacing w:val="25"/>
        </w:rPr>
        <w:t> </w:t>
      </w:r>
      <w:r>
        <w:rPr/>
        <w:t>des installations sanitaires nuit simultanément à la santé, à l’éducation, à l’égalité des sexes et à la stabilité économique.</w:t>
      </w:r>
    </w:p>
    <w:p>
      <w:pPr>
        <w:pStyle w:val="BodyText"/>
      </w:pPr>
    </w:p>
    <w:p>
      <w:pPr>
        <w:pStyle w:val="BodyText"/>
        <w:spacing w:before="9"/>
      </w:pPr>
    </w:p>
    <w:p>
      <w:pPr>
        <w:pStyle w:val="BodyText"/>
        <w:spacing w:line="280" w:lineRule="auto"/>
        <w:ind w:left="125" w:right="408"/>
        <w:jc w:val="both"/>
      </w:pPr>
      <w:r>
        <w:rPr/>
        <w:t>L’assainissement sûr répond à l’ensemble de ces défis à la fois. Dans les écoles, des toilettes propres</w:t>
      </w:r>
      <w:r>
        <w:rPr>
          <w:spacing w:val="40"/>
        </w:rPr>
        <w:t> </w:t>
      </w:r>
      <w:r>
        <w:rPr/>
        <w:t>permettent</w:t>
      </w:r>
      <w:r>
        <w:rPr>
          <w:spacing w:val="40"/>
        </w:rPr>
        <w:t> </w:t>
      </w:r>
      <w:r>
        <w:rPr/>
        <w:t>aux</w:t>
      </w:r>
      <w:r>
        <w:rPr>
          <w:spacing w:val="40"/>
        </w:rPr>
        <w:t> </w:t>
      </w:r>
      <w:r>
        <w:rPr/>
        <w:t>enfants</w:t>
      </w:r>
      <w:r>
        <w:rPr>
          <w:spacing w:val="40"/>
        </w:rPr>
        <w:t> </w:t>
      </w:r>
      <w:r>
        <w:rPr/>
        <w:t>d’assister</w:t>
      </w:r>
      <w:r>
        <w:rPr>
          <w:spacing w:val="25"/>
        </w:rPr>
        <w:t> </w:t>
      </w:r>
      <w:r>
        <w:rPr/>
        <w:t>régulièrement</w:t>
      </w:r>
      <w:r>
        <w:rPr>
          <w:spacing w:val="25"/>
        </w:rPr>
        <w:t> </w:t>
      </w:r>
      <w:r>
        <w:rPr/>
        <w:t>aux</w:t>
      </w:r>
      <w:r>
        <w:rPr>
          <w:spacing w:val="25"/>
        </w:rPr>
        <w:t> </w:t>
      </w:r>
      <w:r>
        <w:rPr/>
        <w:t>cours,</w:t>
      </w:r>
      <w:r>
        <w:rPr>
          <w:spacing w:val="25"/>
        </w:rPr>
        <w:t> </w:t>
      </w:r>
      <w:r>
        <w:rPr/>
        <w:t>favorisant</w:t>
      </w:r>
      <w:r>
        <w:rPr>
          <w:spacing w:val="25"/>
        </w:rPr>
        <w:t> </w:t>
      </w:r>
      <w:r>
        <w:rPr/>
        <w:t>l’apprentissage</w:t>
      </w:r>
      <w:r>
        <w:rPr>
          <w:spacing w:val="25"/>
        </w:rPr>
        <w:t> </w:t>
      </w:r>
      <w:r>
        <w:rPr/>
        <w:t>et le développement cognitif. Pour les filles, l’accès à des installations sûres constitue souvent la différence entre rester à l’école ou l’abandonner. Un assainissement sécurisé réduit les risques</w:t>
      </w:r>
      <w:r>
        <w:rPr>
          <w:spacing w:val="40"/>
        </w:rPr>
        <w:t> </w:t>
      </w:r>
      <w:r>
        <w:rPr/>
        <w:t>pour</w:t>
      </w:r>
      <w:r>
        <w:rPr>
          <w:spacing w:val="40"/>
        </w:rPr>
        <w:t> </w:t>
      </w:r>
      <w:r>
        <w:rPr/>
        <w:t>la</w:t>
      </w:r>
      <w:r>
        <w:rPr>
          <w:spacing w:val="40"/>
        </w:rPr>
        <w:t> </w:t>
      </w:r>
      <w:r>
        <w:rPr/>
        <w:t>santé</w:t>
      </w:r>
      <w:r>
        <w:rPr>
          <w:spacing w:val="40"/>
        </w:rPr>
        <w:t> </w:t>
      </w:r>
      <w:r>
        <w:rPr/>
        <w:t>maternelle</w:t>
      </w:r>
      <w:r>
        <w:rPr>
          <w:spacing w:val="36"/>
        </w:rPr>
        <w:t> </w:t>
      </w:r>
      <w:r>
        <w:rPr/>
        <w:t>pendant</w:t>
      </w:r>
      <w:r>
        <w:rPr>
          <w:spacing w:val="36"/>
        </w:rPr>
        <w:t> </w:t>
      </w:r>
      <w:r>
        <w:rPr/>
        <w:t>la</w:t>
      </w:r>
      <w:r>
        <w:rPr>
          <w:spacing w:val="36"/>
        </w:rPr>
        <w:t> </w:t>
      </w:r>
      <w:r>
        <w:rPr/>
        <w:t>grossesse</w:t>
      </w:r>
      <w:r>
        <w:rPr>
          <w:spacing w:val="36"/>
        </w:rPr>
        <w:t> </w:t>
      </w:r>
      <w:r>
        <w:rPr/>
        <w:t>et</w:t>
      </w:r>
      <w:r>
        <w:rPr>
          <w:spacing w:val="36"/>
        </w:rPr>
        <w:t> </w:t>
      </w:r>
      <w:r>
        <w:rPr/>
        <w:t>après</w:t>
      </w:r>
      <w:r>
        <w:rPr>
          <w:spacing w:val="36"/>
        </w:rPr>
        <w:t> </w:t>
      </w:r>
      <w:r>
        <w:rPr/>
        <w:t>l’accouchement,</w:t>
      </w:r>
      <w:r>
        <w:rPr>
          <w:spacing w:val="36"/>
        </w:rPr>
        <w:t> </w:t>
      </w:r>
      <w:r>
        <w:rPr/>
        <w:t>protégeant</w:t>
      </w:r>
      <w:r>
        <w:rPr>
          <w:spacing w:val="36"/>
        </w:rPr>
        <w:t> </w:t>
      </w:r>
      <w:r>
        <w:rPr/>
        <w:t>à</w:t>
      </w:r>
      <w:r>
        <w:rPr>
          <w:spacing w:val="36"/>
        </w:rPr>
        <w:t> </w:t>
      </w:r>
      <w:r>
        <w:rPr/>
        <w:t>la</w:t>
      </w:r>
      <w:r>
        <w:rPr>
          <w:spacing w:val="36"/>
        </w:rPr>
        <w:t> </w:t>
      </w:r>
      <w:r>
        <w:rPr/>
        <w:t>fois</w:t>
      </w:r>
      <w:r>
        <w:rPr>
          <w:spacing w:val="36"/>
        </w:rPr>
        <w:t> </w:t>
      </w:r>
      <w:r>
        <w:rPr/>
        <w:t>la</w:t>
      </w:r>
    </w:p>
    <w:p>
      <w:pPr>
        <w:pStyle w:val="BodyText"/>
        <w:spacing w:after="0" w:line="280" w:lineRule="auto"/>
        <w:jc w:val="both"/>
        <w:sectPr>
          <w:pgSz w:w="11910" w:h="16840"/>
          <w:pgMar w:top="1920" w:bottom="280" w:left="1275" w:right="992"/>
        </w:sectPr>
      </w:pPr>
    </w:p>
    <w:p>
      <w:pPr>
        <w:pStyle w:val="BodyText"/>
        <w:spacing w:line="280" w:lineRule="auto" w:before="181"/>
        <w:ind w:left="125" w:right="414"/>
        <w:jc w:val="both"/>
      </w:pPr>
      <w:r>
        <w:rPr/>
        <w:t>mère</w:t>
      </w:r>
      <w:r>
        <w:rPr>
          <w:spacing w:val="40"/>
        </w:rPr>
        <w:t> </w:t>
      </w:r>
      <w:r>
        <w:rPr/>
        <w:t>et</w:t>
      </w:r>
      <w:r>
        <w:rPr>
          <w:spacing w:val="40"/>
        </w:rPr>
        <w:t> </w:t>
      </w:r>
      <w:r>
        <w:rPr/>
        <w:t>l’enfant.</w:t>
      </w:r>
      <w:r>
        <w:rPr>
          <w:spacing w:val="40"/>
        </w:rPr>
        <w:t> </w:t>
      </w:r>
      <w:r>
        <w:rPr/>
        <w:t>Au-delà</w:t>
      </w:r>
      <w:r>
        <w:rPr>
          <w:spacing w:val="40"/>
        </w:rPr>
        <w:t> </w:t>
      </w:r>
      <w:r>
        <w:rPr/>
        <w:t>des</w:t>
      </w:r>
      <w:r>
        <w:rPr>
          <w:spacing w:val="40"/>
        </w:rPr>
        <w:t> </w:t>
      </w:r>
      <w:r>
        <w:rPr/>
        <w:t>résultats</w:t>
      </w:r>
      <w:r>
        <w:rPr>
          <w:spacing w:val="40"/>
        </w:rPr>
        <w:t> </w:t>
      </w:r>
      <w:r>
        <w:rPr/>
        <w:t>mesurables, il restaure la dignité, un impact durable lorsque les solutions sont intégrées aux systèmes communautaires.</w:t>
      </w:r>
    </w:p>
    <w:p>
      <w:pPr>
        <w:pStyle w:val="BodyText"/>
        <w:spacing w:before="43"/>
      </w:pPr>
    </w:p>
    <w:p>
      <w:pPr>
        <w:pStyle w:val="BodyText"/>
        <w:spacing w:line="280" w:lineRule="auto"/>
        <w:ind w:left="125" w:right="408"/>
        <w:jc w:val="both"/>
      </w:pPr>
      <w:r>
        <w:rPr/>
        <w:t>La durabilité est au cœur du modèle. Des partenariats avec des fabricants, des importateurs, des ONG, des gouvernements locaux, des agents de santé communautaires, des détaillants et des distributeurs</w:t>
      </w:r>
      <w:r>
        <w:rPr>
          <w:spacing w:val="40"/>
        </w:rPr>
        <w:t> </w:t>
      </w:r>
      <w:r>
        <w:rPr/>
        <w:t>garantissent</w:t>
      </w:r>
      <w:r>
        <w:rPr>
          <w:spacing w:val="40"/>
        </w:rPr>
        <w:t> </w:t>
      </w:r>
      <w:r>
        <w:rPr/>
        <w:t>que</w:t>
      </w:r>
      <w:r>
        <w:rPr>
          <w:spacing w:val="40"/>
        </w:rPr>
        <w:t> </w:t>
      </w:r>
      <w:r>
        <w:rPr/>
        <w:t>les</w:t>
      </w:r>
      <w:r>
        <w:rPr>
          <w:spacing w:val="40"/>
        </w:rPr>
        <w:t> </w:t>
      </w:r>
      <w:r>
        <w:rPr/>
        <w:t>solutions</w:t>
      </w:r>
      <w:r>
        <w:rPr>
          <w:spacing w:val="40"/>
        </w:rPr>
        <w:t> </w:t>
      </w:r>
      <w:r>
        <w:rPr/>
        <w:t>atteignent</w:t>
      </w:r>
      <w:r>
        <w:rPr>
          <w:spacing w:val="40"/>
        </w:rPr>
        <w:t> </w:t>
      </w:r>
      <w:r>
        <w:rPr/>
        <w:t>des</w:t>
      </w:r>
      <w:r>
        <w:rPr>
          <w:spacing w:val="40"/>
        </w:rPr>
        <w:t> </w:t>
      </w:r>
      <w:r>
        <w:rPr/>
        <w:t>populations</w:t>
      </w:r>
      <w:r>
        <w:rPr>
          <w:spacing w:val="40"/>
        </w:rPr>
        <w:t> </w:t>
      </w:r>
      <w:r>
        <w:rPr/>
        <w:t>souvent</w:t>
      </w:r>
      <w:r>
        <w:rPr>
          <w:spacing w:val="40"/>
        </w:rPr>
        <w:t> </w:t>
      </w:r>
      <w:r>
        <w:rPr/>
        <w:t>exclues</w:t>
      </w:r>
      <w:r>
        <w:rPr>
          <w:spacing w:val="40"/>
        </w:rPr>
        <w:t> </w:t>
      </w:r>
      <w:r>
        <w:rPr/>
        <w:t>des chaînes d’approvisionnement traditionnelles. La formation d’entrepreneurs et de maçons locaux assure la maintenance à long terme, crée des emplois et ancre l’assainissement dans le tissu économique des communautés. Les ménages ne se contentent pas d’adopter des installations</w:t>
      </w:r>
      <w:r>
        <w:rPr>
          <w:spacing w:val="-6"/>
        </w:rPr>
        <w:t> </w:t>
      </w:r>
      <w:r>
        <w:rPr/>
        <w:t>: ils les pérennisent et plaident pour une adoption plus large. C’est l’assainissement comme écosystème, et non comme œuvre de charité.</w:t>
      </w:r>
    </w:p>
    <w:p>
      <w:pPr>
        <w:pStyle w:val="BodyText"/>
        <w:spacing w:before="38"/>
      </w:pPr>
    </w:p>
    <w:p>
      <w:pPr>
        <w:pStyle w:val="BodyText"/>
        <w:spacing w:line="280" w:lineRule="auto"/>
        <w:ind w:left="125" w:right="410"/>
        <w:jc w:val="both"/>
      </w:pPr>
      <w:r>
        <w:rPr/>
        <w:t>L’argument économique renforce encore cette nécessité. L’Organisation mondiale de la Santé (OMS)</w:t>
      </w:r>
      <w:r>
        <w:rPr>
          <w:spacing w:val="40"/>
        </w:rPr>
        <w:t> </w:t>
      </w:r>
      <w:r>
        <w:rPr/>
        <w:t>estime</w:t>
      </w:r>
      <w:r>
        <w:rPr>
          <w:spacing w:val="40"/>
        </w:rPr>
        <w:t> </w:t>
      </w:r>
      <w:r>
        <w:rPr/>
        <w:t>que</w:t>
      </w:r>
      <w:r>
        <w:rPr>
          <w:spacing w:val="40"/>
        </w:rPr>
        <w:t> </w:t>
      </w:r>
      <w:r>
        <w:rPr/>
        <w:t>pour</w:t>
      </w:r>
      <w:r>
        <w:rPr>
          <w:spacing w:val="40"/>
        </w:rPr>
        <w:t> </w:t>
      </w:r>
      <w:r>
        <w:rPr/>
        <w:t>chaque</w:t>
      </w:r>
      <w:r>
        <w:rPr>
          <w:spacing w:val="40"/>
        </w:rPr>
        <w:t> </w:t>
      </w:r>
      <w:r>
        <w:rPr/>
        <w:t>dollar</w:t>
      </w:r>
      <w:r>
        <w:rPr>
          <w:spacing w:val="40"/>
        </w:rPr>
        <w:t> </w:t>
      </w:r>
      <w:r>
        <w:rPr/>
        <w:t>investi</w:t>
      </w:r>
      <w:r>
        <w:rPr>
          <w:spacing w:val="40"/>
        </w:rPr>
        <w:t> </w:t>
      </w:r>
      <w:r>
        <w:rPr/>
        <w:t>dans</w:t>
      </w:r>
      <w:r>
        <w:rPr>
          <w:spacing w:val="40"/>
        </w:rPr>
        <w:t> </w:t>
      </w:r>
      <w:r>
        <w:rPr/>
        <w:t>l’assainissement,</w:t>
      </w:r>
      <w:r>
        <w:rPr>
          <w:spacing w:val="40"/>
        </w:rPr>
        <w:t> </w:t>
      </w:r>
      <w:r>
        <w:rPr/>
        <w:t>le</w:t>
      </w:r>
      <w:r>
        <w:rPr>
          <w:spacing w:val="40"/>
        </w:rPr>
        <w:t> </w:t>
      </w:r>
      <w:r>
        <w:rPr/>
        <w:t>retour</w:t>
      </w:r>
      <w:r>
        <w:rPr>
          <w:spacing w:val="40"/>
        </w:rPr>
        <w:t> </w:t>
      </w:r>
      <w:r>
        <w:rPr/>
        <w:t>est</w:t>
      </w:r>
      <w:r>
        <w:rPr>
          <w:spacing w:val="40"/>
        </w:rPr>
        <w:t> </w:t>
      </w:r>
      <w:r>
        <w:rPr/>
        <w:t>d’environ 5,50</w:t>
      </w:r>
      <w:r>
        <w:rPr>
          <w:spacing w:val="-8"/>
        </w:rPr>
        <w:t> </w:t>
      </w:r>
      <w:r>
        <w:rPr/>
        <w:t>dollars, grâce à la réduction des coûts de santé, à l’augmentation de la productivité et à la diminution des décès prématurés (</w:t>
      </w:r>
      <w:r>
        <w:rPr>
          <w:i/>
        </w:rPr>
        <w:t>Source </w:t>
      </w:r>
      <w:r>
        <w:rPr/>
        <w:t>: </w:t>
      </w:r>
      <w:r>
        <w:rPr>
          <w:i/>
          <w:color w:val="0000FF"/>
          <w:u w:val="single" w:color="0000FF"/>
        </w:rPr>
        <w:t>OMS</w:t>
      </w:r>
      <w:r>
        <w:rPr/>
        <w:t>).</w:t>
      </w:r>
    </w:p>
    <w:p>
      <w:pPr>
        <w:pStyle w:val="BodyText"/>
        <w:spacing w:before="41"/>
      </w:pPr>
    </w:p>
    <w:p>
      <w:pPr>
        <w:pStyle w:val="BodyText"/>
        <w:spacing w:line="280" w:lineRule="auto"/>
        <w:ind w:left="125" w:right="407"/>
        <w:jc w:val="both"/>
      </w:pPr>
      <w:r>
        <w:rPr/>
        <w:t>Dans les régions où les maladies évitables continuent de freiner le potentiel économique, il ne s’agit pas seulement d’une intervention sanitaire, mais d’un impératif de développement. Les approches fondées sur le marché, qui associent accessibilité financière des produits et entrepreneuriat, créent des systèmes portés par la demande, capables de perdurer au-delà des</w:t>
      </w:r>
      <w:r>
        <w:rPr>
          <w:spacing w:val="40"/>
        </w:rPr>
        <w:t> </w:t>
      </w:r>
      <w:r>
        <w:rPr/>
        <w:t>cycles de financement des donateurs. Elles autonomisent les communautés tout en générant des bénéfices économiques tangibles.</w:t>
      </w:r>
    </w:p>
    <w:p>
      <w:pPr>
        <w:pStyle w:val="BodyText"/>
      </w:pPr>
    </w:p>
    <w:p>
      <w:pPr>
        <w:pStyle w:val="BodyText"/>
        <w:spacing w:before="9"/>
      </w:pPr>
    </w:p>
    <w:p>
      <w:pPr>
        <w:spacing w:line="280" w:lineRule="auto" w:before="0"/>
        <w:ind w:left="125" w:right="408" w:firstLine="0"/>
        <w:jc w:val="both"/>
        <w:rPr>
          <w:i/>
          <w:sz w:val="23"/>
        </w:rPr>
      </w:pPr>
      <w:r>
        <w:rPr>
          <w:sz w:val="23"/>
        </w:rPr>
        <w:t>Amadu Ali Nabe, Responsable du développement commercial, SATO Afrique de l’Ouest, a mis l’emphase sur la mission : </w:t>
      </w:r>
      <w:r>
        <w:rPr>
          <w:i/>
          <w:color w:val="FF0000"/>
          <w:sz w:val="23"/>
        </w:rPr>
        <w:t>“</w:t>
      </w:r>
      <w:r>
        <w:rPr>
          <w:i/>
          <w:sz w:val="23"/>
        </w:rPr>
        <w:t>Chez SATO, notre mission est de garantir que chaque famille en Afrique de l’Ouest puisse avoir accès à un assainissement sécurisé et digne. Chaque</w:t>
      </w:r>
      <w:r>
        <w:rPr>
          <w:i/>
          <w:spacing w:val="80"/>
          <w:sz w:val="23"/>
        </w:rPr>
        <w:t> </w:t>
      </w:r>
      <w:r>
        <w:rPr>
          <w:i/>
          <w:sz w:val="23"/>
        </w:rPr>
        <w:t>infrastructure que nous installons est bien plus qu’une toilette ; c’est un pas vers des</w:t>
      </w:r>
      <w:r>
        <w:rPr>
          <w:i/>
          <w:spacing w:val="40"/>
          <w:sz w:val="23"/>
        </w:rPr>
        <w:t> </w:t>
      </w:r>
      <w:r>
        <w:rPr>
          <w:i/>
          <w:sz w:val="23"/>
        </w:rPr>
        <w:t>communautés plus saines, des écoles plus sécurisées et un avenir plus prometteur tant pour les enfants que pour les mères. Nous restons engagés à atteindre autant de personnes que possibles, foyer par foyer.”</w:t>
      </w:r>
    </w:p>
    <w:p>
      <w:pPr>
        <w:pStyle w:val="BodyText"/>
        <w:spacing w:line="280" w:lineRule="auto" w:before="228"/>
        <w:ind w:left="125" w:right="409"/>
        <w:jc w:val="both"/>
      </w:pPr>
      <w:r>
        <w:rPr/>
        <w:t>L’expérience de l’Afrique de l’Ouest montre que l’impact à grande échelle exige une approche systémique.</w:t>
      </w:r>
      <w:r>
        <w:rPr>
          <w:spacing w:val="40"/>
        </w:rPr>
        <w:t> </w:t>
      </w:r>
      <w:r>
        <w:rPr/>
        <w:t>L’innovation,</w:t>
      </w:r>
      <w:r>
        <w:rPr>
          <w:spacing w:val="40"/>
        </w:rPr>
        <w:t> </w:t>
      </w:r>
      <w:r>
        <w:rPr/>
        <w:t>la</w:t>
      </w:r>
      <w:r>
        <w:rPr>
          <w:spacing w:val="40"/>
        </w:rPr>
        <w:t> </w:t>
      </w:r>
      <w:r>
        <w:rPr/>
        <w:t>collaboration</w:t>
      </w:r>
      <w:r>
        <w:rPr>
          <w:spacing w:val="40"/>
        </w:rPr>
        <w:t> </w:t>
      </w:r>
      <w:r>
        <w:rPr/>
        <w:t>et</w:t>
      </w:r>
      <w:r>
        <w:rPr>
          <w:spacing w:val="40"/>
        </w:rPr>
        <w:t> </w:t>
      </w:r>
      <w:r>
        <w:rPr/>
        <w:t>l’engagement communautaire ne sont pas facultatifs, ils sont indispensables. Lorsque l’assainissement est produit localement, distribué localement et entretenu localement, il cesse d’être une intervention externe et devient une composante</w:t>
      </w:r>
      <w:r>
        <w:rPr>
          <w:spacing w:val="37"/>
        </w:rPr>
        <w:t> </w:t>
      </w:r>
      <w:r>
        <w:rPr/>
        <w:t>de</w:t>
      </w:r>
      <w:r>
        <w:rPr>
          <w:spacing w:val="37"/>
        </w:rPr>
        <w:t> </w:t>
      </w:r>
      <w:r>
        <w:rPr/>
        <w:t>la</w:t>
      </w:r>
      <w:r>
        <w:rPr>
          <w:spacing w:val="37"/>
        </w:rPr>
        <w:t> </w:t>
      </w:r>
      <w:r>
        <w:rPr/>
        <w:t>vie</w:t>
      </w:r>
      <w:r>
        <w:rPr>
          <w:spacing w:val="37"/>
        </w:rPr>
        <w:t> </w:t>
      </w:r>
      <w:r>
        <w:rPr/>
        <w:t>communautaire.</w:t>
      </w:r>
      <w:r>
        <w:rPr>
          <w:spacing w:val="37"/>
        </w:rPr>
        <w:t> </w:t>
      </w:r>
      <w:r>
        <w:rPr/>
        <w:t>Le</w:t>
      </w:r>
      <w:r>
        <w:rPr>
          <w:spacing w:val="37"/>
        </w:rPr>
        <w:t> </w:t>
      </w:r>
      <w:r>
        <w:rPr/>
        <w:t>changement</w:t>
      </w:r>
      <w:r>
        <w:rPr>
          <w:spacing w:val="37"/>
        </w:rPr>
        <w:t> </w:t>
      </w:r>
      <w:r>
        <w:rPr/>
        <w:t>de</w:t>
      </w:r>
      <w:r>
        <w:rPr>
          <w:spacing w:val="37"/>
        </w:rPr>
        <w:t> </w:t>
      </w:r>
      <w:r>
        <w:rPr/>
        <w:t>comportement</w:t>
      </w:r>
      <w:r>
        <w:rPr>
          <w:spacing w:val="37"/>
        </w:rPr>
        <w:t> </w:t>
      </w:r>
      <w:r>
        <w:rPr/>
        <w:t>s’ancre dans la durée. Les enfants restent scolarisés. Les mères sont protégées. Les communautés s’épanouissent.</w:t>
      </w:r>
    </w:p>
    <w:p>
      <w:pPr>
        <w:pStyle w:val="BodyText"/>
        <w:spacing w:after="0" w:line="280" w:lineRule="auto"/>
        <w:jc w:val="both"/>
        <w:sectPr>
          <w:pgSz w:w="11910" w:h="16840"/>
          <w:pgMar w:top="1920" w:bottom="280" w:left="1275" w:right="992"/>
        </w:sectPr>
      </w:pPr>
    </w:p>
    <w:p>
      <w:pPr>
        <w:pStyle w:val="BodyText"/>
        <w:spacing w:line="280" w:lineRule="auto" w:before="181"/>
        <w:ind w:left="125" w:right="408"/>
        <w:jc w:val="both"/>
      </w:pPr>
      <w:r>
        <w:rPr/>
        <w:t>Alors</w:t>
      </w:r>
      <w:r>
        <w:rPr>
          <w:spacing w:val="22"/>
        </w:rPr>
        <w:t> </w:t>
      </w:r>
      <w:r>
        <w:rPr/>
        <w:t>que</w:t>
      </w:r>
      <w:r>
        <w:rPr>
          <w:spacing w:val="22"/>
        </w:rPr>
        <w:t> </w:t>
      </w:r>
      <w:r>
        <w:rPr/>
        <w:t>les</w:t>
      </w:r>
      <w:r>
        <w:rPr>
          <w:spacing w:val="22"/>
        </w:rPr>
        <w:t> </w:t>
      </w:r>
      <w:r>
        <w:rPr/>
        <w:t>pays</w:t>
      </w:r>
      <w:r>
        <w:rPr>
          <w:spacing w:val="22"/>
        </w:rPr>
        <w:t> </w:t>
      </w:r>
      <w:r>
        <w:rPr/>
        <w:t>œuvrent</w:t>
      </w:r>
      <w:r>
        <w:rPr>
          <w:spacing w:val="22"/>
        </w:rPr>
        <w:t> </w:t>
      </w:r>
      <w:r>
        <w:rPr/>
        <w:t>pour</w:t>
      </w:r>
      <w:r>
        <w:rPr>
          <w:spacing w:val="22"/>
        </w:rPr>
        <w:t> </w:t>
      </w:r>
      <w:r>
        <w:rPr/>
        <w:t>l’accès</w:t>
      </w:r>
      <w:r>
        <w:rPr>
          <w:spacing w:val="22"/>
        </w:rPr>
        <w:t> </w:t>
      </w:r>
      <w:r>
        <w:rPr/>
        <w:t>universel</w:t>
      </w:r>
      <w:r>
        <w:rPr>
          <w:spacing w:val="22"/>
        </w:rPr>
        <w:t> </w:t>
      </w:r>
      <w:r>
        <w:rPr/>
        <w:t>à</w:t>
      </w:r>
      <w:r>
        <w:rPr>
          <w:spacing w:val="22"/>
        </w:rPr>
        <w:t> </w:t>
      </w:r>
      <w:r>
        <w:rPr/>
        <w:t>l’assainissement</w:t>
      </w:r>
      <w:r>
        <w:rPr>
          <w:spacing w:val="22"/>
        </w:rPr>
        <w:t> </w:t>
      </w:r>
      <w:r>
        <w:rPr/>
        <w:t>dans</w:t>
      </w:r>
      <w:r>
        <w:rPr>
          <w:spacing w:val="22"/>
        </w:rPr>
        <w:t> </w:t>
      </w:r>
      <w:r>
        <w:rPr/>
        <w:t>le</w:t>
      </w:r>
      <w:r>
        <w:rPr>
          <w:spacing w:val="22"/>
        </w:rPr>
        <w:t> </w:t>
      </w:r>
      <w:r>
        <w:rPr/>
        <w:t>cadre de l’Objectif de</w:t>
      </w:r>
      <w:r>
        <w:rPr>
          <w:spacing w:val="35"/>
        </w:rPr>
        <w:t> </w:t>
      </w:r>
      <w:r>
        <w:rPr/>
        <w:t>développement</w:t>
      </w:r>
      <w:r>
        <w:rPr>
          <w:spacing w:val="35"/>
        </w:rPr>
        <w:t> </w:t>
      </w:r>
      <w:r>
        <w:rPr/>
        <w:t>durable</w:t>
      </w:r>
      <w:r>
        <w:rPr>
          <w:spacing w:val="-8"/>
        </w:rPr>
        <w:t> </w:t>
      </w:r>
      <w:r>
        <w:rPr/>
        <w:t>6.2,</w:t>
      </w:r>
      <w:r>
        <w:rPr>
          <w:spacing w:val="35"/>
        </w:rPr>
        <w:t> </w:t>
      </w:r>
      <w:r>
        <w:rPr/>
        <w:t>la</w:t>
      </w:r>
      <w:r>
        <w:rPr>
          <w:spacing w:val="35"/>
        </w:rPr>
        <w:t> </w:t>
      </w:r>
      <w:r>
        <w:rPr/>
        <w:t>leçon</w:t>
      </w:r>
      <w:r>
        <w:rPr>
          <w:spacing w:val="35"/>
        </w:rPr>
        <w:t> </w:t>
      </w:r>
      <w:r>
        <w:rPr/>
        <w:t>est</w:t>
      </w:r>
      <w:r>
        <w:rPr>
          <w:spacing w:val="35"/>
        </w:rPr>
        <w:t> </w:t>
      </w:r>
      <w:r>
        <w:rPr/>
        <w:t>claire:</w:t>
      </w:r>
      <w:r>
        <w:rPr>
          <w:spacing w:val="35"/>
        </w:rPr>
        <w:t> </w:t>
      </w:r>
      <w:r>
        <w:rPr/>
        <w:t>faire</w:t>
      </w:r>
      <w:r>
        <w:rPr>
          <w:spacing w:val="35"/>
        </w:rPr>
        <w:t> </w:t>
      </w:r>
      <w:r>
        <w:rPr/>
        <w:t>davantage</w:t>
      </w:r>
      <w:r>
        <w:rPr>
          <w:spacing w:val="35"/>
        </w:rPr>
        <w:t> </w:t>
      </w:r>
      <w:r>
        <w:rPr/>
        <w:t>de la même chose ne suffira pas. Les progrès passent par la mise à l’échelle de solutions éprouvées, leur intégration dans des systèmes fondés sur le marché et l’investissement dans les capacités locales. Chaque retard a un coût humain, en maladies, en opportunités perdues et en vies limitées. Mais lorsque l’assainissement est traité comme un investissement fondamental, l’impact est décisif.</w:t>
      </w:r>
    </w:p>
    <w:p>
      <w:pPr>
        <w:pStyle w:val="BodyText"/>
        <w:spacing w:line="280" w:lineRule="auto" w:before="229"/>
        <w:ind w:left="125" w:right="411"/>
        <w:jc w:val="both"/>
      </w:pPr>
      <w:r>
        <w:rPr/>
        <w:t>La santé s’améliore. L’éducation se stabilise. Les économies se renforcent. Et la dignité,</w:t>
      </w:r>
      <w:r>
        <w:rPr>
          <w:spacing w:val="40"/>
        </w:rPr>
        <w:t> </w:t>
      </w:r>
      <w:r>
        <w:rPr/>
        <w:t>longtemps refusée, est restaurée, non pas temporairement, mais durablement.</w:t>
      </w:r>
    </w:p>
    <w:p>
      <w:pPr>
        <w:pStyle w:val="BodyText"/>
        <w:spacing w:before="232"/>
        <w:ind w:left="125"/>
        <w:jc w:val="both"/>
      </w:pPr>
      <w:r>
        <w:rPr/>
        <w:t>Pour</w:t>
      </w:r>
      <w:r>
        <w:rPr>
          <w:spacing w:val="-1"/>
        </w:rPr>
        <w:t> </w:t>
      </w:r>
      <w:r>
        <w:rPr/>
        <w:t>en</w:t>
      </w:r>
      <w:r>
        <w:rPr>
          <w:spacing w:val="-1"/>
        </w:rPr>
        <w:t> </w:t>
      </w:r>
      <w:r>
        <w:rPr/>
        <w:t>savoir plus</w:t>
      </w:r>
      <w:r>
        <w:rPr>
          <w:spacing w:val="-1"/>
        </w:rPr>
        <w:t> </w:t>
      </w:r>
      <w:r>
        <w:rPr/>
        <w:t>sur SATO,</w:t>
      </w:r>
      <w:r>
        <w:rPr>
          <w:spacing w:val="-1"/>
        </w:rPr>
        <w:t> </w:t>
      </w:r>
      <w:r>
        <w:rPr/>
        <w:t>visitez </w:t>
      </w:r>
      <w:hyperlink r:id="rId7">
        <w:r>
          <w:rPr>
            <w:color w:val="1155CC"/>
            <w:spacing w:val="-2"/>
            <w:u w:val="single" w:color="1155CC"/>
          </w:rPr>
          <w:t>www.sato.lixil.com</w:t>
        </w:r>
        <w:r>
          <w:rPr>
            <w:spacing w:val="-2"/>
          </w:rPr>
          <w:t>.</w:t>
        </w:r>
      </w:hyperlink>
    </w:p>
    <w:p>
      <w:pPr>
        <w:pStyle w:val="BodyText"/>
        <w:spacing w:before="50"/>
        <w:rPr>
          <w:sz w:val="20"/>
        </w:rPr>
      </w:pPr>
      <w:r>
        <w:rPr>
          <w:sz w:val="20"/>
        </w:rPr>
        <w:drawing>
          <wp:anchor distT="0" distB="0" distL="0" distR="0" allowOverlap="1" layoutInCell="1" locked="0" behindDoc="1" simplePos="0" relativeHeight="487588864">
            <wp:simplePos x="0" y="0"/>
            <wp:positionH relativeFrom="page">
              <wp:posOffset>907941</wp:posOffset>
            </wp:positionH>
            <wp:positionV relativeFrom="paragraph">
              <wp:posOffset>193041</wp:posOffset>
            </wp:positionV>
            <wp:extent cx="5852160" cy="3291840"/>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8" cstate="print"/>
                    <a:stretch>
                      <a:fillRect/>
                    </a:stretch>
                  </pic:blipFill>
                  <pic:spPr>
                    <a:xfrm>
                      <a:off x="0" y="0"/>
                      <a:ext cx="5852160" cy="3291840"/>
                    </a:xfrm>
                    <a:prstGeom prst="rect">
                      <a:avLst/>
                    </a:prstGeom>
                  </pic:spPr>
                </pic:pic>
              </a:graphicData>
            </a:graphic>
          </wp:anchor>
        </w:drawing>
      </w:r>
    </w:p>
    <w:p>
      <w:pPr>
        <w:pStyle w:val="BodyText"/>
      </w:pPr>
    </w:p>
    <w:p>
      <w:pPr>
        <w:spacing w:before="0"/>
        <w:ind w:left="0" w:right="280" w:firstLine="0"/>
        <w:jc w:val="center"/>
        <w:rPr>
          <w:i/>
          <w:sz w:val="23"/>
        </w:rPr>
      </w:pPr>
      <w:r>
        <w:rPr>
          <w:i/>
          <w:sz w:val="23"/>
        </w:rPr>
        <w:t>Un</w:t>
      </w:r>
      <w:r>
        <w:rPr>
          <w:i/>
          <w:spacing w:val="3"/>
          <w:sz w:val="23"/>
        </w:rPr>
        <w:t> </w:t>
      </w:r>
      <w:r>
        <w:rPr>
          <w:i/>
          <w:sz w:val="23"/>
        </w:rPr>
        <w:t>message</w:t>
      </w:r>
      <w:r>
        <w:rPr>
          <w:i/>
          <w:spacing w:val="3"/>
          <w:sz w:val="23"/>
        </w:rPr>
        <w:t> </w:t>
      </w:r>
      <w:r>
        <w:rPr>
          <w:i/>
          <w:sz w:val="23"/>
        </w:rPr>
        <w:t>du</w:t>
      </w:r>
      <w:r>
        <w:rPr>
          <w:i/>
          <w:spacing w:val="4"/>
          <w:sz w:val="23"/>
        </w:rPr>
        <w:t> </w:t>
      </w:r>
      <w:r>
        <w:rPr>
          <w:i/>
          <w:sz w:val="23"/>
        </w:rPr>
        <w:t>PDG</w:t>
      </w:r>
      <w:r>
        <w:rPr>
          <w:i/>
          <w:spacing w:val="4"/>
          <w:sz w:val="23"/>
        </w:rPr>
        <w:t> </w:t>
      </w:r>
      <w:r>
        <w:rPr>
          <w:i/>
          <w:sz w:val="23"/>
        </w:rPr>
        <w:t>de</w:t>
      </w:r>
      <w:r>
        <w:rPr>
          <w:i/>
          <w:spacing w:val="3"/>
          <w:sz w:val="23"/>
        </w:rPr>
        <w:t> </w:t>
      </w:r>
      <w:r>
        <w:rPr>
          <w:i/>
          <w:spacing w:val="-4"/>
          <w:sz w:val="23"/>
        </w:rPr>
        <w:t>SATO.</w:t>
      </w:r>
    </w:p>
    <w:p>
      <w:pPr>
        <w:pStyle w:val="BodyText"/>
        <w:spacing w:before="13"/>
        <w:rPr>
          <w:i/>
        </w:rPr>
      </w:pPr>
    </w:p>
    <w:p>
      <w:pPr>
        <w:spacing w:before="0"/>
        <w:ind w:left="125" w:right="0" w:firstLine="0"/>
        <w:jc w:val="both"/>
        <w:rPr>
          <w:b/>
          <w:i/>
          <w:sz w:val="23"/>
        </w:rPr>
      </w:pPr>
      <w:r>
        <w:rPr>
          <w:b/>
          <w:i/>
          <w:color w:val="222222"/>
          <w:sz w:val="23"/>
        </w:rPr>
        <w:t>A propos</w:t>
      </w:r>
      <w:r>
        <w:rPr>
          <w:b/>
          <w:i/>
          <w:color w:val="222222"/>
          <w:spacing w:val="2"/>
          <w:sz w:val="23"/>
        </w:rPr>
        <w:t> </w:t>
      </w:r>
      <w:r>
        <w:rPr>
          <w:b/>
          <w:i/>
          <w:color w:val="222222"/>
          <w:sz w:val="23"/>
        </w:rPr>
        <w:t>de</w:t>
      </w:r>
      <w:r>
        <w:rPr>
          <w:b/>
          <w:i/>
          <w:color w:val="222222"/>
          <w:spacing w:val="1"/>
          <w:sz w:val="23"/>
        </w:rPr>
        <w:t> </w:t>
      </w:r>
      <w:r>
        <w:rPr>
          <w:b/>
          <w:i/>
          <w:color w:val="222222"/>
          <w:sz w:val="23"/>
        </w:rPr>
        <w:t>SATO,</w:t>
      </w:r>
      <w:r>
        <w:rPr>
          <w:b/>
          <w:i/>
          <w:color w:val="222222"/>
          <w:spacing w:val="1"/>
          <w:sz w:val="23"/>
        </w:rPr>
        <w:t> </w:t>
      </w:r>
      <w:r>
        <w:rPr>
          <w:b/>
          <w:i/>
          <w:color w:val="222222"/>
          <w:sz w:val="23"/>
        </w:rPr>
        <w:t>une</w:t>
      </w:r>
      <w:r>
        <w:rPr>
          <w:b/>
          <w:i/>
          <w:color w:val="222222"/>
          <w:spacing w:val="1"/>
          <w:sz w:val="23"/>
        </w:rPr>
        <w:t> </w:t>
      </w:r>
      <w:r>
        <w:rPr>
          <w:b/>
          <w:i/>
          <w:color w:val="222222"/>
          <w:sz w:val="23"/>
        </w:rPr>
        <w:t>filiale de</w:t>
      </w:r>
      <w:r>
        <w:rPr>
          <w:b/>
          <w:i/>
          <w:color w:val="222222"/>
          <w:spacing w:val="1"/>
          <w:sz w:val="23"/>
        </w:rPr>
        <w:t> </w:t>
      </w:r>
      <w:r>
        <w:rPr>
          <w:b/>
          <w:i/>
          <w:color w:val="222222"/>
          <w:spacing w:val="-2"/>
          <w:sz w:val="23"/>
        </w:rPr>
        <w:t>LIXIL:</w:t>
      </w:r>
    </w:p>
    <w:p>
      <w:pPr>
        <w:pStyle w:val="BodyText"/>
        <w:spacing w:before="40"/>
        <w:rPr>
          <w:b/>
          <w:i/>
        </w:rPr>
      </w:pPr>
    </w:p>
    <w:p>
      <w:pPr>
        <w:spacing w:line="304" w:lineRule="auto" w:before="0"/>
        <w:ind w:left="125" w:right="407" w:firstLine="0"/>
        <w:jc w:val="both"/>
        <w:rPr>
          <w:i/>
          <w:sz w:val="23"/>
        </w:rPr>
      </w:pPr>
      <w:r>
        <w:rPr>
          <w:i/>
          <w:color w:val="222222"/>
          <w:sz w:val="23"/>
        </w:rPr>
        <w:t>SATO</w:t>
      </w:r>
      <w:r>
        <w:rPr>
          <w:i/>
          <w:color w:val="222222"/>
          <w:spacing w:val="77"/>
          <w:sz w:val="23"/>
        </w:rPr>
        <w:t> </w:t>
      </w:r>
      <w:r>
        <w:rPr>
          <w:i/>
          <w:color w:val="222222"/>
          <w:sz w:val="23"/>
        </w:rPr>
        <w:t>est</w:t>
      </w:r>
      <w:r>
        <w:rPr>
          <w:i/>
          <w:color w:val="222222"/>
          <w:spacing w:val="77"/>
          <w:sz w:val="23"/>
        </w:rPr>
        <w:t> </w:t>
      </w:r>
      <w:r>
        <w:rPr>
          <w:i/>
          <w:color w:val="222222"/>
          <w:sz w:val="23"/>
        </w:rPr>
        <w:t>une</w:t>
      </w:r>
      <w:r>
        <w:rPr>
          <w:i/>
          <w:color w:val="222222"/>
          <w:spacing w:val="77"/>
          <w:sz w:val="23"/>
        </w:rPr>
        <w:t> </w:t>
      </w:r>
      <w:r>
        <w:rPr>
          <w:i/>
          <w:color w:val="222222"/>
          <w:sz w:val="23"/>
        </w:rPr>
        <w:t>entreprise</w:t>
      </w:r>
      <w:r>
        <w:rPr>
          <w:i/>
          <w:color w:val="222222"/>
          <w:spacing w:val="40"/>
          <w:sz w:val="23"/>
        </w:rPr>
        <w:t> </w:t>
      </w:r>
      <w:r>
        <w:rPr>
          <w:i/>
          <w:color w:val="222222"/>
          <w:sz w:val="23"/>
        </w:rPr>
        <w:t>sociale</w:t>
      </w:r>
      <w:r>
        <w:rPr>
          <w:i/>
          <w:color w:val="222222"/>
          <w:spacing w:val="40"/>
          <w:sz w:val="23"/>
        </w:rPr>
        <w:t> </w:t>
      </w:r>
      <w:r>
        <w:rPr>
          <w:i/>
          <w:color w:val="222222"/>
          <w:sz w:val="23"/>
        </w:rPr>
        <w:t>primée,</w:t>
      </w:r>
      <w:r>
        <w:rPr>
          <w:i/>
          <w:color w:val="222222"/>
          <w:spacing w:val="40"/>
          <w:sz w:val="23"/>
        </w:rPr>
        <w:t> </w:t>
      </w:r>
      <w:r>
        <w:rPr>
          <w:i/>
          <w:color w:val="222222"/>
          <w:sz w:val="23"/>
        </w:rPr>
        <w:t>filiale</w:t>
      </w:r>
      <w:r>
        <w:rPr>
          <w:i/>
          <w:color w:val="222222"/>
          <w:spacing w:val="40"/>
          <w:sz w:val="23"/>
        </w:rPr>
        <w:t> </w:t>
      </w:r>
      <w:r>
        <w:rPr>
          <w:i/>
          <w:color w:val="222222"/>
          <w:sz w:val="23"/>
        </w:rPr>
        <w:t>de</w:t>
      </w:r>
      <w:r>
        <w:rPr>
          <w:i/>
          <w:color w:val="222222"/>
          <w:spacing w:val="40"/>
          <w:sz w:val="23"/>
        </w:rPr>
        <w:t> </w:t>
      </w:r>
      <w:r>
        <w:rPr>
          <w:i/>
          <w:color w:val="222222"/>
          <w:sz w:val="23"/>
        </w:rPr>
        <w:t>LIXIL,</w:t>
      </w:r>
      <w:r>
        <w:rPr>
          <w:i/>
          <w:color w:val="222222"/>
          <w:spacing w:val="40"/>
          <w:sz w:val="23"/>
        </w:rPr>
        <w:t> </w:t>
      </w:r>
      <w:r>
        <w:rPr>
          <w:i/>
          <w:color w:val="222222"/>
          <w:sz w:val="23"/>
        </w:rPr>
        <w:t>qui</w:t>
      </w:r>
      <w:r>
        <w:rPr>
          <w:i/>
          <w:color w:val="222222"/>
          <w:spacing w:val="40"/>
          <w:sz w:val="23"/>
        </w:rPr>
        <w:t> </w:t>
      </w:r>
      <w:r>
        <w:rPr>
          <w:i/>
          <w:color w:val="222222"/>
          <w:sz w:val="23"/>
        </w:rPr>
        <w:t>a</w:t>
      </w:r>
      <w:r>
        <w:rPr>
          <w:i/>
          <w:color w:val="222222"/>
          <w:spacing w:val="40"/>
          <w:sz w:val="23"/>
        </w:rPr>
        <w:t> </w:t>
      </w:r>
      <w:r>
        <w:rPr>
          <w:i/>
          <w:color w:val="222222"/>
          <w:sz w:val="23"/>
        </w:rPr>
        <w:t>amélioré</w:t>
      </w:r>
      <w:r>
        <w:rPr>
          <w:i/>
          <w:color w:val="222222"/>
          <w:spacing w:val="40"/>
          <w:sz w:val="23"/>
        </w:rPr>
        <w:t> </w:t>
      </w:r>
      <w:r>
        <w:rPr>
          <w:i/>
          <w:color w:val="222222"/>
          <w:sz w:val="23"/>
        </w:rPr>
        <w:t>la</w:t>
      </w:r>
      <w:r>
        <w:rPr>
          <w:i/>
          <w:color w:val="222222"/>
          <w:spacing w:val="40"/>
          <w:sz w:val="23"/>
        </w:rPr>
        <w:t> </w:t>
      </w:r>
      <w:r>
        <w:rPr>
          <w:i/>
          <w:color w:val="222222"/>
          <w:sz w:val="23"/>
        </w:rPr>
        <w:t>vie</w:t>
      </w:r>
      <w:r>
        <w:rPr>
          <w:i/>
          <w:color w:val="222222"/>
          <w:spacing w:val="40"/>
          <w:sz w:val="23"/>
        </w:rPr>
        <w:t> </w:t>
      </w:r>
      <w:r>
        <w:rPr>
          <w:i/>
          <w:color w:val="222222"/>
          <w:sz w:val="23"/>
        </w:rPr>
        <w:t>d’environ 103</w:t>
      </w:r>
      <w:r>
        <w:rPr>
          <w:i/>
          <w:color w:val="222222"/>
          <w:spacing w:val="-9"/>
          <w:sz w:val="23"/>
        </w:rPr>
        <w:t> </w:t>
      </w:r>
      <w:r>
        <w:rPr>
          <w:i/>
          <w:color w:val="222222"/>
          <w:sz w:val="23"/>
        </w:rPr>
        <w:t>millions de personnes à travers le monde. Notre mission est simple</w:t>
      </w:r>
      <w:r>
        <w:rPr>
          <w:i/>
          <w:color w:val="222222"/>
          <w:spacing w:val="-9"/>
          <w:sz w:val="23"/>
        </w:rPr>
        <w:t> </w:t>
      </w:r>
      <w:r>
        <w:rPr>
          <w:i/>
          <w:color w:val="222222"/>
          <w:sz w:val="23"/>
        </w:rPr>
        <w:t>: permettre à chacun, partout,</w:t>
      </w:r>
      <w:r>
        <w:rPr>
          <w:i/>
          <w:color w:val="222222"/>
          <w:spacing w:val="40"/>
          <w:sz w:val="23"/>
        </w:rPr>
        <w:t> </w:t>
      </w:r>
      <w:r>
        <w:rPr>
          <w:i/>
          <w:color w:val="222222"/>
          <w:sz w:val="23"/>
        </w:rPr>
        <w:t>de</w:t>
      </w:r>
      <w:r>
        <w:rPr>
          <w:i/>
          <w:color w:val="222222"/>
          <w:spacing w:val="40"/>
          <w:sz w:val="23"/>
        </w:rPr>
        <w:t> </w:t>
      </w:r>
      <w:r>
        <w:rPr>
          <w:i/>
          <w:color w:val="222222"/>
          <w:sz w:val="23"/>
        </w:rPr>
        <w:t>vivre</w:t>
      </w:r>
      <w:r>
        <w:rPr>
          <w:i/>
          <w:color w:val="222222"/>
          <w:spacing w:val="40"/>
          <w:sz w:val="23"/>
        </w:rPr>
        <w:t> </w:t>
      </w:r>
      <w:r>
        <w:rPr>
          <w:i/>
          <w:color w:val="222222"/>
          <w:sz w:val="23"/>
        </w:rPr>
        <w:t>une</w:t>
      </w:r>
      <w:r>
        <w:rPr>
          <w:i/>
          <w:color w:val="222222"/>
          <w:spacing w:val="40"/>
          <w:sz w:val="23"/>
        </w:rPr>
        <w:t> </w:t>
      </w:r>
      <w:r>
        <w:rPr>
          <w:i/>
          <w:color w:val="222222"/>
          <w:sz w:val="23"/>
        </w:rPr>
        <w:t>vie</w:t>
      </w:r>
      <w:r>
        <w:rPr>
          <w:i/>
          <w:color w:val="222222"/>
          <w:spacing w:val="40"/>
          <w:sz w:val="23"/>
        </w:rPr>
        <w:t> </w:t>
      </w:r>
      <w:r>
        <w:rPr>
          <w:i/>
          <w:color w:val="222222"/>
          <w:sz w:val="23"/>
        </w:rPr>
        <w:t>meilleure</w:t>
      </w:r>
      <w:r>
        <w:rPr>
          <w:i/>
          <w:color w:val="222222"/>
          <w:spacing w:val="40"/>
          <w:sz w:val="23"/>
        </w:rPr>
        <w:t> </w:t>
      </w:r>
      <w:r>
        <w:rPr>
          <w:i/>
          <w:color w:val="222222"/>
          <w:sz w:val="23"/>
        </w:rPr>
        <w:t>chaque</w:t>
      </w:r>
      <w:r>
        <w:rPr>
          <w:i/>
          <w:color w:val="222222"/>
          <w:spacing w:val="40"/>
          <w:sz w:val="23"/>
        </w:rPr>
        <w:t> </w:t>
      </w:r>
      <w:r>
        <w:rPr>
          <w:i/>
          <w:color w:val="222222"/>
          <w:sz w:val="23"/>
        </w:rPr>
        <w:t>jour</w:t>
      </w:r>
      <w:r>
        <w:rPr>
          <w:i/>
          <w:color w:val="222222"/>
          <w:spacing w:val="40"/>
          <w:sz w:val="23"/>
        </w:rPr>
        <w:t> </w:t>
      </w:r>
      <w:r>
        <w:rPr>
          <w:i/>
          <w:color w:val="222222"/>
          <w:sz w:val="23"/>
        </w:rPr>
        <w:t>et</w:t>
      </w:r>
      <w:r>
        <w:rPr>
          <w:i/>
          <w:color w:val="222222"/>
          <w:spacing w:val="40"/>
          <w:sz w:val="23"/>
        </w:rPr>
        <w:t> </w:t>
      </w:r>
      <w:r>
        <w:rPr>
          <w:i/>
          <w:color w:val="222222"/>
          <w:sz w:val="23"/>
        </w:rPr>
        <w:t>de bénéficier d’un avenir plus prometteur grâce à des solutions innovantes en matière d’assainissement et d’hygiène. Nous y parvenons en concevant des produits abordables, durables et accessibles, fondés sur les besoins et les attentes spécifiques de nos clients. Pour en savoir plus, visitez : </w:t>
      </w:r>
      <w:r>
        <w:rPr>
          <w:i/>
          <w:color w:val="1155CC"/>
          <w:sz w:val="23"/>
          <w:u w:val="single" w:color="1155CC"/>
        </w:rPr>
        <w:t>https://sato.lixil.com/</w:t>
      </w:r>
    </w:p>
    <w:sectPr>
      <w:pgSz w:w="11910" w:h="16840"/>
      <w:pgMar w:top="1920" w:bottom="280" w:left="1275" w:right="992"/>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fr-FR" w:eastAsia="en-US" w:bidi="ar-SA"/>
    </w:rPr>
  </w:style>
  <w:style w:styleId="BodyText" w:type="paragraph">
    <w:name w:val="Body Text"/>
    <w:basedOn w:val="Normal"/>
    <w:uiPriority w:val="1"/>
    <w:qFormat/>
    <w:pPr/>
    <w:rPr>
      <w:rFonts w:ascii="Times New Roman" w:hAnsi="Times New Roman" w:eastAsia="Times New Roman" w:cs="Times New Roman"/>
      <w:sz w:val="23"/>
      <w:szCs w:val="23"/>
      <w:lang w:val="fr-FR" w:eastAsia="en-US" w:bidi="ar-SA"/>
    </w:rPr>
  </w:style>
  <w:style w:styleId="Title" w:type="paragraph">
    <w:name w:val="Title"/>
    <w:basedOn w:val="Normal"/>
    <w:uiPriority w:val="1"/>
    <w:qFormat/>
    <w:pPr>
      <w:ind w:left="125" w:right="407"/>
      <w:jc w:val="both"/>
    </w:pPr>
    <w:rPr>
      <w:rFonts w:ascii="Times New Roman" w:hAnsi="Times New Roman" w:eastAsia="Times New Roman" w:cs="Times New Roman"/>
      <w:b/>
      <w:bCs/>
      <w:sz w:val="23"/>
      <w:szCs w:val="23"/>
      <w:lang w:val="fr-FR" w:eastAsia="en-US" w:bidi="ar-SA"/>
    </w:rPr>
  </w:style>
  <w:style w:styleId="ListParagraph" w:type="paragraph">
    <w:name w:val="List Paragraph"/>
    <w:basedOn w:val="Normal"/>
    <w:uiPriority w:val="1"/>
    <w:qFormat/>
    <w:pPr/>
    <w:rPr>
      <w:lang w:val="fr-FR" w:eastAsia="en-US" w:bidi="ar-SA"/>
    </w:rPr>
  </w:style>
  <w:style w:styleId="TableParagraph" w:type="paragraph">
    <w:name w:val="Table Paragraph"/>
    <w:basedOn w:val="Normal"/>
    <w:uiPriority w:val="1"/>
    <w:qFormat/>
    <w:pPr/>
    <w:rPr>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http://www.sato.lixil.com/" TargetMode="Externa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2026-04-03T19:11:57Z</dcterms:created>
  <dcterms:modified xsi:type="dcterms:W3CDTF">2026-04-03T19:11:57Z</dcterms:modified>
</cp:coreProperties>
</file>