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9984" w14:textId="5FA4CA83" w:rsidR="00326E72" w:rsidRPr="007201D8" w:rsidRDefault="00326E72" w:rsidP="00326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6B4B43FA" w14:textId="472A9532" w:rsidR="00326E72" w:rsidRPr="007201D8" w:rsidRDefault="00326E72" w:rsidP="00326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11855304" w14:textId="29E9E61B" w:rsidR="00073C5A" w:rsidRPr="007201D8" w:rsidRDefault="00073C5A" w:rsidP="0007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BB3DA9" w14:textId="7FBA4AE7" w:rsidR="00B07A4C" w:rsidRDefault="00B07A4C" w:rsidP="0007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8B64F4" w14:textId="701FA509" w:rsidR="000F3AA0" w:rsidRPr="007201D8" w:rsidRDefault="000F3AA0" w:rsidP="0007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0E8DE0" w14:textId="77777777" w:rsidR="00B07A4C" w:rsidRPr="007201D8" w:rsidRDefault="00073C5A" w:rsidP="00B07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201D8">
        <w:rPr>
          <w:rFonts w:ascii="Times New Roman" w:hAnsi="Times New Roman" w:cs="Times New Roman"/>
          <w:b/>
          <w:bCs/>
          <w:sz w:val="40"/>
          <w:szCs w:val="40"/>
        </w:rPr>
        <w:t>Termes de r</w:t>
      </w:r>
      <w:r w:rsidR="00326E72" w:rsidRPr="007201D8">
        <w:rPr>
          <w:rFonts w:ascii="Times New Roman" w:hAnsi="Times New Roman" w:cs="Times New Roman"/>
          <w:b/>
          <w:bCs/>
          <w:sz w:val="40"/>
          <w:szCs w:val="40"/>
        </w:rPr>
        <w:t>éférence pour le recrutement</w:t>
      </w:r>
    </w:p>
    <w:p w14:paraId="42CE8277" w14:textId="02F7BF33" w:rsidR="00326E72" w:rsidRPr="007201D8" w:rsidRDefault="000F3AA0" w:rsidP="00B07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201D8">
        <w:rPr>
          <w:rFonts w:ascii="Times New Roman" w:hAnsi="Times New Roman" w:cs="Times New Roman"/>
          <w:b/>
          <w:bCs/>
          <w:sz w:val="40"/>
          <w:szCs w:val="40"/>
        </w:rPr>
        <w:t>D’un</w:t>
      </w:r>
      <w:r w:rsidR="00326E72" w:rsidRPr="007201D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E2AF0">
        <w:rPr>
          <w:rFonts w:ascii="Times New Roman" w:hAnsi="Times New Roman" w:cs="Times New Roman"/>
          <w:b/>
          <w:bCs/>
          <w:sz w:val="40"/>
          <w:szCs w:val="40"/>
        </w:rPr>
        <w:t xml:space="preserve">second </w:t>
      </w:r>
      <w:r w:rsidR="00326E72" w:rsidRPr="007201D8">
        <w:rPr>
          <w:rFonts w:ascii="Times New Roman" w:hAnsi="Times New Roman" w:cs="Times New Roman"/>
          <w:b/>
          <w:bCs/>
          <w:sz w:val="40"/>
          <w:szCs w:val="40"/>
        </w:rPr>
        <w:t>commissaire aux comptes</w:t>
      </w:r>
      <w:r w:rsidR="00921B5A" w:rsidRPr="007201D8">
        <w:rPr>
          <w:rFonts w:ascii="Times New Roman" w:hAnsi="Times New Roman" w:cs="Times New Roman"/>
          <w:b/>
          <w:bCs/>
          <w:sz w:val="40"/>
          <w:szCs w:val="40"/>
        </w:rPr>
        <w:t xml:space="preserve"> et </w:t>
      </w:r>
      <w:r>
        <w:rPr>
          <w:rFonts w:ascii="Times New Roman" w:hAnsi="Times New Roman" w:cs="Times New Roman"/>
          <w:b/>
          <w:bCs/>
          <w:sz w:val="40"/>
          <w:szCs w:val="40"/>
        </w:rPr>
        <w:t>deux</w:t>
      </w:r>
      <w:r w:rsidR="00921B5A" w:rsidRPr="007201D8">
        <w:rPr>
          <w:rFonts w:ascii="Times New Roman" w:hAnsi="Times New Roman" w:cs="Times New Roman"/>
          <w:b/>
          <w:bCs/>
          <w:sz w:val="40"/>
          <w:szCs w:val="40"/>
        </w:rPr>
        <w:t xml:space="preserve"> suppléant</w:t>
      </w:r>
      <w:r>
        <w:rPr>
          <w:rFonts w:ascii="Times New Roman" w:hAnsi="Times New Roman" w:cs="Times New Roman"/>
          <w:b/>
          <w:bCs/>
          <w:sz w:val="40"/>
          <w:szCs w:val="40"/>
        </w:rPr>
        <w:t>s</w:t>
      </w:r>
    </w:p>
    <w:p w14:paraId="076FEA0C" w14:textId="77777777" w:rsidR="006A7FB5" w:rsidRPr="007201D8" w:rsidRDefault="006A7FB5" w:rsidP="00B07A4C">
      <w:pPr>
        <w:jc w:val="center"/>
      </w:pPr>
    </w:p>
    <w:p w14:paraId="6B728787" w14:textId="77777777" w:rsidR="00D106C3" w:rsidRPr="007201D8" w:rsidRDefault="00D106C3" w:rsidP="00B07A4C">
      <w:pPr>
        <w:jc w:val="center"/>
      </w:pPr>
    </w:p>
    <w:p w14:paraId="23C63696" w14:textId="77777777" w:rsidR="00D106C3" w:rsidRPr="007201D8" w:rsidRDefault="00D106C3" w:rsidP="00073C5A">
      <w:pPr>
        <w:jc w:val="center"/>
      </w:pPr>
    </w:p>
    <w:p w14:paraId="0628EBBE" w14:textId="77777777" w:rsidR="00D106C3" w:rsidRPr="007201D8" w:rsidRDefault="00D106C3" w:rsidP="00326E72"/>
    <w:p w14:paraId="6AE883EE" w14:textId="77777777" w:rsidR="00D106C3" w:rsidRPr="007201D8" w:rsidRDefault="00D106C3" w:rsidP="00326E72"/>
    <w:p w14:paraId="751A2C3B" w14:textId="77777777" w:rsidR="00D106C3" w:rsidRPr="007201D8" w:rsidRDefault="00D106C3" w:rsidP="00326E72"/>
    <w:p w14:paraId="081FCD7F" w14:textId="77777777" w:rsidR="00D106C3" w:rsidRPr="007201D8" w:rsidRDefault="00D106C3" w:rsidP="00326E72"/>
    <w:p w14:paraId="471B3091" w14:textId="77777777" w:rsidR="00D106C3" w:rsidRPr="007201D8" w:rsidRDefault="00D106C3" w:rsidP="00326E72"/>
    <w:p w14:paraId="792303B0" w14:textId="77777777" w:rsidR="00D106C3" w:rsidRPr="007201D8" w:rsidRDefault="00D106C3" w:rsidP="00326E72"/>
    <w:p w14:paraId="4F516F0C" w14:textId="77777777" w:rsidR="00D106C3" w:rsidRPr="007201D8" w:rsidRDefault="00D106C3" w:rsidP="00326E72"/>
    <w:p w14:paraId="021DFFCC" w14:textId="77777777" w:rsidR="00D106C3" w:rsidRPr="007201D8" w:rsidRDefault="00D106C3" w:rsidP="00326E72"/>
    <w:p w14:paraId="53EADFD1" w14:textId="77777777" w:rsidR="00D106C3" w:rsidRPr="007201D8" w:rsidRDefault="00D106C3" w:rsidP="00326E72"/>
    <w:p w14:paraId="7499434B" w14:textId="77777777" w:rsidR="00D106C3" w:rsidRPr="007201D8" w:rsidRDefault="00D106C3" w:rsidP="00326E72"/>
    <w:p w14:paraId="36B79A72" w14:textId="77777777" w:rsidR="00D106C3" w:rsidRPr="007201D8" w:rsidRDefault="00D106C3" w:rsidP="00326E72"/>
    <w:p w14:paraId="3CACC72E" w14:textId="77777777" w:rsidR="00D106C3" w:rsidRPr="007201D8" w:rsidRDefault="00D106C3" w:rsidP="00326E72"/>
    <w:p w14:paraId="4B61F94A" w14:textId="77777777" w:rsidR="00D106C3" w:rsidRPr="007201D8" w:rsidRDefault="00D106C3" w:rsidP="00326E72"/>
    <w:p w14:paraId="08A573F6" w14:textId="77777777" w:rsidR="00D106C3" w:rsidRPr="007201D8" w:rsidRDefault="00D106C3" w:rsidP="00326E72"/>
    <w:p w14:paraId="4E5E634E" w14:textId="77777777" w:rsidR="00D106C3" w:rsidRPr="007201D8" w:rsidRDefault="00D106C3" w:rsidP="00326E72"/>
    <w:p w14:paraId="1614975B" w14:textId="77777777" w:rsidR="00D106C3" w:rsidRPr="007201D8" w:rsidRDefault="00D106C3" w:rsidP="00326E72"/>
    <w:p w14:paraId="2EFF46BE" w14:textId="77777777" w:rsidR="00C24782" w:rsidRPr="007201D8" w:rsidRDefault="00C24782" w:rsidP="00326E72"/>
    <w:p w14:paraId="1249A1D8" w14:textId="1D7D272A" w:rsidR="00073C5A" w:rsidRPr="007201D8" w:rsidRDefault="00073C5A" w:rsidP="00326E72"/>
    <w:p w14:paraId="65542C21" w14:textId="692DDED4" w:rsidR="00B07A4C" w:rsidRDefault="00B07A4C" w:rsidP="00326E72"/>
    <w:p w14:paraId="7063D8C1" w14:textId="77777777" w:rsidR="000F3AA0" w:rsidRDefault="000F3AA0" w:rsidP="00326E72"/>
    <w:p w14:paraId="4E581342" w14:textId="77777777" w:rsidR="000F3AA0" w:rsidRPr="007201D8" w:rsidRDefault="000F3AA0" w:rsidP="00326E72"/>
    <w:p w14:paraId="145B7671" w14:textId="5FFB689A" w:rsidR="008508AD" w:rsidRDefault="008508AD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6147281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DB8939" w14:textId="7BA4D34A" w:rsidR="008508AD" w:rsidRDefault="008508AD">
          <w:pPr>
            <w:pStyle w:val="En-ttedetabledesmatires"/>
          </w:pPr>
          <w:r>
            <w:t>Table des matières</w:t>
          </w:r>
        </w:p>
        <w:p w14:paraId="29288E31" w14:textId="614671FD" w:rsidR="008508AD" w:rsidRDefault="008508A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440695" w:history="1">
            <w:r w:rsidRPr="006940AA">
              <w:rPr>
                <w:rStyle w:val="Lienhypertexte"/>
                <w:rFonts w:ascii="Times New Roman" w:hAnsi="Times New Roman" w:cs="Times New Roman"/>
                <w:b/>
                <w:noProof/>
              </w:rPr>
              <w:t>1.</w:t>
            </w:r>
            <w:r>
              <w:rPr>
                <w:noProof/>
              </w:rPr>
              <w:tab/>
            </w:r>
            <w:r w:rsidRPr="006940AA">
              <w:rPr>
                <w:rStyle w:val="Lienhypertexte"/>
                <w:rFonts w:ascii="Times New Roman" w:hAnsi="Times New Roman" w:cs="Times New Roman"/>
                <w:b/>
                <w:noProof/>
              </w:rPr>
              <w:t>Contexte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_Toc228440695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3C58B" w14:textId="3AAC14DB" w:rsidR="008508AD" w:rsidRDefault="008508A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28440696" w:history="1">
            <w:r w:rsidRPr="006940AA">
              <w:rPr>
                <w:rStyle w:val="Lienhypertexte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noProof/>
              </w:rPr>
              <w:tab/>
            </w:r>
            <w:r w:rsidRPr="006940AA">
              <w:rPr>
                <w:rStyle w:val="Lienhypertexte"/>
                <w:rFonts w:ascii="Times New Roman" w:hAnsi="Times New Roman" w:cs="Times New Roman"/>
                <w:b/>
                <w:noProof/>
              </w:rPr>
              <w:t>Mission du commissaire aux comptes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_Toc228440696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E33E0" w14:textId="49E0CEA2" w:rsidR="008508AD" w:rsidRDefault="008508A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28440697" w:history="1">
            <w:r w:rsidRPr="006940AA">
              <w:rPr>
                <w:rStyle w:val="Lienhypertexte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noProof/>
              </w:rPr>
              <w:tab/>
            </w:r>
            <w:r w:rsidRPr="006940AA">
              <w:rPr>
                <w:rStyle w:val="Lienhypertexte"/>
                <w:rFonts w:ascii="Times New Roman" w:hAnsi="Times New Roman" w:cs="Times New Roman"/>
                <w:b/>
                <w:noProof/>
              </w:rPr>
              <w:t>Propositions techniques et financières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8CBB4" w14:textId="2480470C" w:rsidR="008508AD" w:rsidRDefault="008508A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28440698" w:history="1">
            <w:r w:rsidRPr="006940AA">
              <w:rPr>
                <w:rStyle w:val="Lienhypertexte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noProof/>
              </w:rPr>
              <w:tab/>
            </w:r>
            <w:r w:rsidRPr="006940AA">
              <w:rPr>
                <w:rStyle w:val="Lienhypertexte"/>
                <w:rFonts w:ascii="Times New Roman" w:hAnsi="Times New Roman" w:cs="Times New Roman"/>
                <w:b/>
                <w:noProof/>
              </w:rPr>
              <w:t>Modalités de sélection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_Toc228440698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B7C21" w14:textId="6D64FA4A" w:rsidR="008508AD" w:rsidRDefault="008508AD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28440699" w:history="1">
            <w:r w:rsidRPr="006940AA">
              <w:rPr>
                <w:rStyle w:val="Lienhypertexte"/>
                <w:rFonts w:ascii="Times New Roman" w:hAnsi="Times New Roman" w:cs="Times New Roman"/>
                <w:b/>
                <w:noProof/>
              </w:rPr>
              <w:t>5.</w:t>
            </w:r>
            <w:r>
              <w:rPr>
                <w:noProof/>
              </w:rPr>
              <w:tab/>
            </w:r>
            <w:r w:rsidRPr="006940AA">
              <w:rPr>
                <w:rStyle w:val="Lienhypertexte"/>
                <w:rFonts w:ascii="Times New Roman" w:hAnsi="Times New Roman" w:cs="Times New Roman"/>
                <w:b/>
                <w:noProof/>
              </w:rPr>
              <w:t>Dépôt des dossiers de soumission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_Toc228440699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BFDB6" w14:textId="55E2DF7E" w:rsidR="008508AD" w:rsidRDefault="008508AD">
          <w:r>
            <w:rPr>
              <w:b/>
              <w:bCs/>
            </w:rPr>
            <w:fldChar w:fldCharType="end"/>
          </w:r>
        </w:p>
      </w:sdtContent>
    </w:sdt>
    <w:p w14:paraId="566F615F" w14:textId="375C5BE7" w:rsidR="008508AD" w:rsidRDefault="008508AD">
      <w:r>
        <w:br w:type="page"/>
      </w:r>
    </w:p>
    <w:p w14:paraId="41658756" w14:textId="77777777" w:rsidR="008508AD" w:rsidRPr="007201D8" w:rsidRDefault="008508AD" w:rsidP="00326E72"/>
    <w:p w14:paraId="2DD2A580" w14:textId="30EAF2C3" w:rsidR="00D106C3" w:rsidRPr="007201D8" w:rsidRDefault="009A31EE" w:rsidP="007F2C38">
      <w:pPr>
        <w:pStyle w:val="Paragraphedeliste"/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Toc228440695"/>
      <w:r w:rsidRPr="007201D8">
        <w:rPr>
          <w:rFonts w:ascii="Times New Roman" w:hAnsi="Times New Roman" w:cs="Times New Roman"/>
          <w:b/>
          <w:sz w:val="28"/>
          <w:szCs w:val="28"/>
          <w:u w:val="single"/>
        </w:rPr>
        <w:t>Contexte</w:t>
      </w:r>
      <w:bookmarkEnd w:id="0"/>
    </w:p>
    <w:p w14:paraId="406FF0FE" w14:textId="77777777" w:rsidR="00B07A4C" w:rsidRPr="007201D8" w:rsidRDefault="00B07A4C" w:rsidP="00B07A4C">
      <w:pPr>
        <w:pStyle w:val="Paragraphedeliste"/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07F3F9" w14:textId="59E8FCDD" w:rsidR="009F23CD" w:rsidRPr="007201D8" w:rsidRDefault="00233725" w:rsidP="00B07E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 xml:space="preserve">La </w:t>
      </w:r>
      <w:r w:rsidR="00B07E94">
        <w:rPr>
          <w:rFonts w:ascii="Times New Roman" w:hAnsi="Times New Roman" w:cs="Times New Roman"/>
          <w:sz w:val="24"/>
          <w:szCs w:val="24"/>
        </w:rPr>
        <w:t>B</w:t>
      </w:r>
      <w:r w:rsidRPr="007201D8">
        <w:rPr>
          <w:rFonts w:ascii="Times New Roman" w:hAnsi="Times New Roman" w:cs="Times New Roman"/>
          <w:sz w:val="24"/>
          <w:szCs w:val="24"/>
        </w:rPr>
        <w:t xml:space="preserve">anque Islamique du </w:t>
      </w:r>
      <w:r w:rsidR="00B07E94" w:rsidRPr="007201D8">
        <w:rPr>
          <w:rFonts w:ascii="Times New Roman" w:hAnsi="Times New Roman" w:cs="Times New Roman"/>
          <w:sz w:val="24"/>
          <w:szCs w:val="24"/>
        </w:rPr>
        <w:t xml:space="preserve">Guinée </w:t>
      </w:r>
      <w:r w:rsidR="00B07E94">
        <w:rPr>
          <w:rFonts w:ascii="Times New Roman" w:hAnsi="Times New Roman" w:cs="Times New Roman"/>
          <w:sz w:val="24"/>
          <w:szCs w:val="24"/>
        </w:rPr>
        <w:t xml:space="preserve">(BIG) </w:t>
      </w:r>
      <w:r w:rsidR="000F3AA0">
        <w:rPr>
          <w:rFonts w:ascii="Times New Roman" w:hAnsi="Times New Roman" w:cs="Times New Roman"/>
          <w:sz w:val="24"/>
          <w:szCs w:val="24"/>
        </w:rPr>
        <w:t>pour se conformer à l’instruction BCRG N°79/DGSIF/DSB/</w:t>
      </w:r>
      <w:r w:rsidR="00B07E94">
        <w:rPr>
          <w:rFonts w:ascii="Times New Roman" w:hAnsi="Times New Roman" w:cs="Times New Roman"/>
          <w:sz w:val="24"/>
          <w:szCs w:val="24"/>
        </w:rPr>
        <w:t>2018 du</w:t>
      </w:r>
      <w:r w:rsidR="000F3AA0">
        <w:rPr>
          <w:rFonts w:ascii="Times New Roman" w:hAnsi="Times New Roman" w:cs="Times New Roman"/>
          <w:sz w:val="24"/>
          <w:szCs w:val="24"/>
        </w:rPr>
        <w:t xml:space="preserve"> 17 mai 2018</w:t>
      </w:r>
      <w:r w:rsidR="00276915">
        <w:rPr>
          <w:rFonts w:ascii="Times New Roman" w:hAnsi="Times New Roman" w:cs="Times New Roman"/>
          <w:sz w:val="24"/>
          <w:szCs w:val="24"/>
        </w:rPr>
        <w:t xml:space="preserve"> </w:t>
      </w:r>
      <w:r w:rsidR="00276915" w:rsidRPr="00276915">
        <w:rPr>
          <w:rFonts w:ascii="Times New Roman" w:hAnsi="Times New Roman" w:cs="Times New Roman"/>
          <w:sz w:val="24"/>
          <w:szCs w:val="24"/>
        </w:rPr>
        <w:t>portant conditions de nomination d’un deuxième commissaire aux comptes titulaire par les établissements de crédit</w:t>
      </w:r>
      <w:r w:rsidR="00B07E94">
        <w:rPr>
          <w:rFonts w:ascii="Times New Roman" w:hAnsi="Times New Roman" w:cs="Times New Roman"/>
          <w:sz w:val="24"/>
          <w:szCs w:val="24"/>
        </w:rPr>
        <w:t>, lance un appel d’offre</w:t>
      </w:r>
      <w:r w:rsidR="009F23CD" w:rsidRPr="007201D8">
        <w:rPr>
          <w:rFonts w:ascii="Times New Roman" w:hAnsi="Times New Roman" w:cs="Times New Roman"/>
          <w:sz w:val="24"/>
          <w:szCs w:val="24"/>
        </w:rPr>
        <w:t xml:space="preserve"> pour</w:t>
      </w:r>
      <w:r w:rsidR="00B07E94">
        <w:rPr>
          <w:rFonts w:ascii="Times New Roman" w:hAnsi="Times New Roman" w:cs="Times New Roman"/>
          <w:sz w:val="24"/>
          <w:szCs w:val="24"/>
        </w:rPr>
        <w:t xml:space="preserve"> la</w:t>
      </w:r>
      <w:r w:rsidR="009F23CD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F74D28" w:rsidRPr="007201D8">
        <w:rPr>
          <w:rFonts w:ascii="Times New Roman" w:hAnsi="Times New Roman" w:cs="Times New Roman"/>
          <w:sz w:val="24"/>
          <w:szCs w:val="24"/>
        </w:rPr>
        <w:t xml:space="preserve">sélection </w:t>
      </w:r>
      <w:r w:rsidR="00B07E94">
        <w:rPr>
          <w:rFonts w:ascii="Times New Roman" w:hAnsi="Times New Roman" w:cs="Times New Roman"/>
          <w:sz w:val="24"/>
          <w:szCs w:val="24"/>
        </w:rPr>
        <w:t>d’un</w:t>
      </w:r>
      <w:r w:rsidR="00F74D28" w:rsidRPr="007201D8">
        <w:rPr>
          <w:rFonts w:ascii="Times New Roman" w:hAnsi="Times New Roman" w:cs="Times New Roman"/>
          <w:sz w:val="24"/>
          <w:szCs w:val="24"/>
        </w:rPr>
        <w:t xml:space="preserve"> commissaire aux comptes </w:t>
      </w:r>
      <w:r w:rsidR="00B07E94">
        <w:rPr>
          <w:rFonts w:ascii="Times New Roman" w:hAnsi="Times New Roman" w:cs="Times New Roman"/>
          <w:sz w:val="24"/>
          <w:szCs w:val="24"/>
        </w:rPr>
        <w:t xml:space="preserve">titulaire </w:t>
      </w:r>
      <w:r w:rsidR="00F74D28" w:rsidRPr="007201D8">
        <w:rPr>
          <w:rFonts w:ascii="Times New Roman" w:hAnsi="Times New Roman" w:cs="Times New Roman"/>
          <w:sz w:val="24"/>
          <w:szCs w:val="24"/>
        </w:rPr>
        <w:t xml:space="preserve">et </w:t>
      </w:r>
      <w:r w:rsidR="00B07E94">
        <w:rPr>
          <w:rFonts w:ascii="Times New Roman" w:hAnsi="Times New Roman" w:cs="Times New Roman"/>
          <w:sz w:val="24"/>
          <w:szCs w:val="24"/>
        </w:rPr>
        <w:t>de deux</w:t>
      </w:r>
      <w:r w:rsidR="00F74D28" w:rsidRPr="007201D8">
        <w:rPr>
          <w:rFonts w:ascii="Times New Roman" w:hAnsi="Times New Roman" w:cs="Times New Roman"/>
          <w:sz w:val="24"/>
          <w:szCs w:val="24"/>
        </w:rPr>
        <w:t xml:space="preserve"> suppléant</w:t>
      </w:r>
      <w:r w:rsidR="00B07E94">
        <w:rPr>
          <w:rFonts w:ascii="Times New Roman" w:hAnsi="Times New Roman" w:cs="Times New Roman"/>
          <w:sz w:val="24"/>
          <w:szCs w:val="24"/>
        </w:rPr>
        <w:t>s</w:t>
      </w:r>
      <w:r w:rsidR="00F445A8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F74D28" w:rsidRPr="007201D8">
        <w:rPr>
          <w:rFonts w:ascii="Times New Roman" w:hAnsi="Times New Roman" w:cs="Times New Roman"/>
          <w:sz w:val="24"/>
          <w:szCs w:val="24"/>
        </w:rPr>
        <w:t xml:space="preserve">parmi </w:t>
      </w:r>
      <w:r w:rsidR="005E3A0E" w:rsidRPr="007201D8">
        <w:rPr>
          <w:rFonts w:ascii="Times New Roman" w:hAnsi="Times New Roman" w:cs="Times New Roman"/>
          <w:sz w:val="24"/>
          <w:szCs w:val="24"/>
        </w:rPr>
        <w:t>l</w:t>
      </w:r>
      <w:r w:rsidR="009F23CD" w:rsidRPr="007201D8">
        <w:rPr>
          <w:rFonts w:ascii="Times New Roman" w:hAnsi="Times New Roman" w:cs="Times New Roman"/>
          <w:sz w:val="24"/>
          <w:szCs w:val="24"/>
        </w:rPr>
        <w:t>es experts comptables</w:t>
      </w:r>
      <w:r w:rsidR="00B07E94">
        <w:rPr>
          <w:rFonts w:ascii="Times New Roman" w:hAnsi="Times New Roman" w:cs="Times New Roman"/>
          <w:sz w:val="24"/>
          <w:szCs w:val="24"/>
        </w:rPr>
        <w:t>, personne physique ou morale,</w:t>
      </w:r>
      <w:r w:rsidR="009F23CD" w:rsidRPr="007201D8">
        <w:rPr>
          <w:rFonts w:ascii="Times New Roman" w:hAnsi="Times New Roman" w:cs="Times New Roman"/>
          <w:sz w:val="24"/>
          <w:szCs w:val="24"/>
        </w:rPr>
        <w:t xml:space="preserve"> inscrit</w:t>
      </w:r>
      <w:r w:rsidR="00F74D28" w:rsidRPr="007201D8">
        <w:rPr>
          <w:rFonts w:ascii="Times New Roman" w:hAnsi="Times New Roman" w:cs="Times New Roman"/>
          <w:sz w:val="24"/>
          <w:szCs w:val="24"/>
        </w:rPr>
        <w:t>s</w:t>
      </w:r>
      <w:r w:rsidR="009F23CD" w:rsidRPr="007201D8">
        <w:rPr>
          <w:rFonts w:ascii="Times New Roman" w:hAnsi="Times New Roman" w:cs="Times New Roman"/>
          <w:sz w:val="24"/>
          <w:szCs w:val="24"/>
        </w:rPr>
        <w:t xml:space="preserve"> à l’</w:t>
      </w:r>
      <w:r w:rsidR="005E3A0E" w:rsidRPr="007201D8">
        <w:rPr>
          <w:rFonts w:ascii="Times New Roman" w:hAnsi="Times New Roman" w:cs="Times New Roman"/>
          <w:sz w:val="24"/>
          <w:szCs w:val="24"/>
        </w:rPr>
        <w:t>ordre national des experts comptable</w:t>
      </w:r>
      <w:r w:rsidR="005E3A0E" w:rsidRPr="00BD1866">
        <w:rPr>
          <w:rFonts w:ascii="Times New Roman" w:hAnsi="Times New Roman" w:cs="Times New Roman"/>
          <w:sz w:val="24"/>
          <w:szCs w:val="24"/>
        </w:rPr>
        <w:t>s agréés</w:t>
      </w:r>
      <w:r w:rsidR="00CE5C82" w:rsidRPr="007201D8">
        <w:rPr>
          <w:rFonts w:ascii="Times New Roman" w:hAnsi="Times New Roman" w:cs="Times New Roman"/>
          <w:sz w:val="24"/>
          <w:szCs w:val="24"/>
        </w:rPr>
        <w:t xml:space="preserve"> de la République </w:t>
      </w:r>
      <w:r w:rsidR="00B07E94">
        <w:rPr>
          <w:rFonts w:ascii="Times New Roman" w:hAnsi="Times New Roman" w:cs="Times New Roman"/>
          <w:sz w:val="24"/>
          <w:szCs w:val="24"/>
        </w:rPr>
        <w:t>de</w:t>
      </w:r>
      <w:r w:rsidR="00CE5C82" w:rsidRPr="007201D8">
        <w:rPr>
          <w:rFonts w:ascii="Times New Roman" w:hAnsi="Times New Roman" w:cs="Times New Roman"/>
          <w:sz w:val="24"/>
          <w:szCs w:val="24"/>
        </w:rPr>
        <w:t xml:space="preserve"> Guinée.</w:t>
      </w:r>
    </w:p>
    <w:p w14:paraId="4527635C" w14:textId="77777777" w:rsidR="00921B5A" w:rsidRPr="007201D8" w:rsidRDefault="00921B5A" w:rsidP="004A6E6E">
      <w:pPr>
        <w:spacing w:after="0"/>
        <w:rPr>
          <w:b/>
        </w:rPr>
      </w:pPr>
    </w:p>
    <w:p w14:paraId="131B9A57" w14:textId="028B8031" w:rsidR="00921B5A" w:rsidRPr="007201D8" w:rsidRDefault="007B2FAC" w:rsidP="007F2C38">
      <w:pPr>
        <w:pStyle w:val="Paragraphedeliste"/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Toc228440696"/>
      <w:r w:rsidRPr="007201D8">
        <w:rPr>
          <w:rFonts w:ascii="Times New Roman" w:hAnsi="Times New Roman" w:cs="Times New Roman"/>
          <w:b/>
          <w:sz w:val="28"/>
          <w:szCs w:val="28"/>
          <w:u w:val="single"/>
        </w:rPr>
        <w:t xml:space="preserve">Mission </w:t>
      </w:r>
      <w:r w:rsidR="00073C5A" w:rsidRPr="007201D8">
        <w:rPr>
          <w:rFonts w:ascii="Times New Roman" w:hAnsi="Times New Roman" w:cs="Times New Roman"/>
          <w:b/>
          <w:sz w:val="28"/>
          <w:szCs w:val="28"/>
          <w:u w:val="single"/>
        </w:rPr>
        <w:t>du c</w:t>
      </w:r>
      <w:r w:rsidR="00C47D97" w:rsidRPr="007201D8">
        <w:rPr>
          <w:rFonts w:ascii="Times New Roman" w:hAnsi="Times New Roman" w:cs="Times New Roman"/>
          <w:b/>
          <w:sz w:val="28"/>
          <w:szCs w:val="28"/>
          <w:u w:val="single"/>
        </w:rPr>
        <w:t>ommissaire au</w:t>
      </w:r>
      <w:r w:rsidR="009A31EE" w:rsidRPr="007201D8">
        <w:rPr>
          <w:rFonts w:ascii="Times New Roman" w:hAnsi="Times New Roman" w:cs="Times New Roman"/>
          <w:b/>
          <w:sz w:val="28"/>
          <w:szCs w:val="28"/>
          <w:u w:val="single"/>
        </w:rPr>
        <w:t>x</w:t>
      </w:r>
      <w:r w:rsidR="00C47D97" w:rsidRPr="00720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73C5A" w:rsidRPr="007201D8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9A31EE" w:rsidRPr="007201D8">
        <w:rPr>
          <w:rFonts w:ascii="Times New Roman" w:hAnsi="Times New Roman" w:cs="Times New Roman"/>
          <w:b/>
          <w:sz w:val="28"/>
          <w:szCs w:val="28"/>
          <w:u w:val="single"/>
        </w:rPr>
        <w:t>omptes</w:t>
      </w:r>
      <w:bookmarkEnd w:id="1"/>
      <w:r w:rsidR="00C47D97" w:rsidRPr="00720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CC17BFE" w14:textId="77777777" w:rsidR="00CE5C82" w:rsidRPr="007201D8" w:rsidRDefault="00CE5C82" w:rsidP="00CE5C82">
      <w:pPr>
        <w:pStyle w:val="Paragraphedeliste"/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FCADE2" w14:textId="48C958D1" w:rsidR="00C96301" w:rsidRPr="007201D8" w:rsidRDefault="00C96301" w:rsidP="00B07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>Le commissaire au</w:t>
      </w:r>
      <w:r w:rsidR="00C85028" w:rsidRPr="007201D8">
        <w:rPr>
          <w:rFonts w:ascii="Times New Roman" w:hAnsi="Times New Roman" w:cs="Times New Roman"/>
          <w:sz w:val="24"/>
          <w:szCs w:val="24"/>
        </w:rPr>
        <w:t>x</w:t>
      </w:r>
      <w:r w:rsidRPr="007201D8">
        <w:rPr>
          <w:rFonts w:ascii="Times New Roman" w:hAnsi="Times New Roman" w:cs="Times New Roman"/>
          <w:sz w:val="24"/>
          <w:szCs w:val="24"/>
        </w:rPr>
        <w:t xml:space="preserve"> compte</w:t>
      </w:r>
      <w:r w:rsidR="00C85028" w:rsidRPr="007201D8">
        <w:rPr>
          <w:rFonts w:ascii="Times New Roman" w:hAnsi="Times New Roman" w:cs="Times New Roman"/>
          <w:sz w:val="24"/>
          <w:szCs w:val="24"/>
        </w:rPr>
        <w:t>s</w:t>
      </w:r>
      <w:r w:rsidR="009A31EE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7B2FAC" w:rsidRPr="007201D8">
        <w:rPr>
          <w:rFonts w:ascii="Times New Roman" w:hAnsi="Times New Roman" w:cs="Times New Roman"/>
          <w:sz w:val="24"/>
          <w:szCs w:val="24"/>
        </w:rPr>
        <w:t xml:space="preserve">exercera sa </w:t>
      </w:r>
      <w:r w:rsidRPr="007201D8">
        <w:rPr>
          <w:rFonts w:ascii="Times New Roman" w:hAnsi="Times New Roman" w:cs="Times New Roman"/>
          <w:sz w:val="24"/>
          <w:szCs w:val="24"/>
        </w:rPr>
        <w:t>mission</w:t>
      </w:r>
      <w:r w:rsidR="009A31EE" w:rsidRPr="007201D8">
        <w:rPr>
          <w:rFonts w:ascii="Times New Roman" w:hAnsi="Times New Roman" w:cs="Times New Roman"/>
          <w:sz w:val="24"/>
          <w:szCs w:val="24"/>
        </w:rPr>
        <w:t>,</w:t>
      </w:r>
      <w:r w:rsidRPr="007201D8">
        <w:rPr>
          <w:rFonts w:ascii="Times New Roman" w:hAnsi="Times New Roman" w:cs="Times New Roman"/>
          <w:sz w:val="24"/>
          <w:szCs w:val="24"/>
        </w:rPr>
        <w:t xml:space="preserve"> conformément à la législation en vigueur et </w:t>
      </w:r>
      <w:r w:rsidR="00F714AF" w:rsidRPr="007201D8">
        <w:rPr>
          <w:rFonts w:ascii="Times New Roman" w:hAnsi="Times New Roman" w:cs="Times New Roman"/>
          <w:sz w:val="24"/>
          <w:szCs w:val="24"/>
        </w:rPr>
        <w:t>notamment suivant les dispositions</w:t>
      </w:r>
      <w:r w:rsidR="004A65CE" w:rsidRPr="007201D8">
        <w:rPr>
          <w:rFonts w:ascii="Times New Roman" w:hAnsi="Times New Roman" w:cs="Times New Roman"/>
          <w:sz w:val="24"/>
          <w:szCs w:val="24"/>
        </w:rPr>
        <w:t xml:space="preserve"> de la loi N°L/2013/060/CNT du 12 août 2013 portant Règlementation Bancaire en République de Guinée et </w:t>
      </w:r>
      <w:r w:rsidR="00B07E94">
        <w:rPr>
          <w:rFonts w:ascii="Times New Roman" w:hAnsi="Times New Roman" w:cs="Times New Roman"/>
          <w:sz w:val="24"/>
          <w:szCs w:val="24"/>
        </w:rPr>
        <w:t>conformément aux dispositions de l’article 719 de l’acte uniforme révisé de l’OHADA portant sur le droit des sociétés commerciales et des GIE</w:t>
      </w:r>
      <w:r w:rsidR="00A93BBF">
        <w:rPr>
          <w:rFonts w:ascii="Times New Roman" w:hAnsi="Times New Roman" w:cs="Times New Roman"/>
          <w:sz w:val="24"/>
          <w:szCs w:val="24"/>
        </w:rPr>
        <w:t>.</w:t>
      </w:r>
      <w:r w:rsidR="00B07E94">
        <w:rPr>
          <w:rFonts w:ascii="Times New Roman" w:hAnsi="Times New Roman" w:cs="Times New Roman"/>
          <w:sz w:val="24"/>
          <w:szCs w:val="24"/>
        </w:rPr>
        <w:t xml:space="preserve"> </w:t>
      </w:r>
      <w:r w:rsidR="009A31EE" w:rsidRPr="007201D8">
        <w:rPr>
          <w:rFonts w:ascii="Times New Roman" w:hAnsi="Times New Roman" w:cs="Times New Roman"/>
          <w:sz w:val="24"/>
          <w:szCs w:val="24"/>
        </w:rPr>
        <w:t>Il</w:t>
      </w:r>
      <w:r w:rsidR="007B2FAC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9A31EE" w:rsidRPr="007201D8">
        <w:rPr>
          <w:rFonts w:ascii="Times New Roman" w:hAnsi="Times New Roman" w:cs="Times New Roman"/>
          <w:sz w:val="24"/>
          <w:szCs w:val="24"/>
        </w:rPr>
        <w:t>aur</w:t>
      </w:r>
      <w:r w:rsidR="007B2FAC" w:rsidRPr="007201D8">
        <w:rPr>
          <w:rFonts w:ascii="Times New Roman" w:hAnsi="Times New Roman" w:cs="Times New Roman"/>
          <w:sz w:val="24"/>
          <w:szCs w:val="24"/>
        </w:rPr>
        <w:t xml:space="preserve">a </w:t>
      </w:r>
      <w:r w:rsidR="005E72F8" w:rsidRPr="007201D8">
        <w:rPr>
          <w:rFonts w:ascii="Times New Roman" w:hAnsi="Times New Roman" w:cs="Times New Roman"/>
          <w:sz w:val="24"/>
          <w:szCs w:val="24"/>
        </w:rPr>
        <w:t xml:space="preserve">notamment </w:t>
      </w:r>
      <w:r w:rsidR="00921B5A" w:rsidRPr="007201D8">
        <w:rPr>
          <w:rFonts w:ascii="Times New Roman" w:hAnsi="Times New Roman" w:cs="Times New Roman"/>
          <w:sz w:val="24"/>
          <w:szCs w:val="24"/>
        </w:rPr>
        <w:t>pour missi</w:t>
      </w:r>
      <w:r w:rsidRPr="007201D8">
        <w:rPr>
          <w:rFonts w:ascii="Times New Roman" w:hAnsi="Times New Roman" w:cs="Times New Roman"/>
          <w:sz w:val="24"/>
          <w:szCs w:val="24"/>
        </w:rPr>
        <w:t xml:space="preserve">on permanente, à l'exclusion de </w:t>
      </w:r>
      <w:r w:rsidR="00921B5A" w:rsidRPr="007201D8">
        <w:rPr>
          <w:rFonts w:ascii="Times New Roman" w:hAnsi="Times New Roman" w:cs="Times New Roman"/>
          <w:sz w:val="24"/>
          <w:szCs w:val="24"/>
        </w:rPr>
        <w:t xml:space="preserve">toute immixtion dans la gestion, </w:t>
      </w:r>
      <w:r w:rsidR="00276915">
        <w:rPr>
          <w:rFonts w:ascii="Times New Roman" w:hAnsi="Times New Roman" w:cs="Times New Roman"/>
          <w:sz w:val="24"/>
          <w:szCs w:val="24"/>
        </w:rPr>
        <w:t>de certifier la régularité des comptes</w:t>
      </w:r>
      <w:r w:rsidR="008508AD">
        <w:rPr>
          <w:rFonts w:ascii="Times New Roman" w:hAnsi="Times New Roman" w:cs="Times New Roman"/>
          <w:sz w:val="24"/>
          <w:szCs w:val="24"/>
        </w:rPr>
        <w:t xml:space="preserve">, </w:t>
      </w:r>
      <w:r w:rsidR="00921B5A" w:rsidRPr="007201D8">
        <w:rPr>
          <w:rFonts w:ascii="Times New Roman" w:hAnsi="Times New Roman" w:cs="Times New Roman"/>
          <w:sz w:val="24"/>
          <w:szCs w:val="24"/>
        </w:rPr>
        <w:t>de vérifi</w:t>
      </w:r>
      <w:r w:rsidRPr="007201D8">
        <w:rPr>
          <w:rFonts w:ascii="Times New Roman" w:hAnsi="Times New Roman" w:cs="Times New Roman"/>
          <w:sz w:val="24"/>
          <w:szCs w:val="24"/>
        </w:rPr>
        <w:t xml:space="preserve">er les valeurs et les documents </w:t>
      </w:r>
      <w:r w:rsidR="00921B5A" w:rsidRPr="007201D8">
        <w:rPr>
          <w:rFonts w:ascii="Times New Roman" w:hAnsi="Times New Roman" w:cs="Times New Roman"/>
          <w:sz w:val="24"/>
          <w:szCs w:val="24"/>
        </w:rPr>
        <w:t>comptables de la société et de contrôler l</w:t>
      </w:r>
      <w:r w:rsidRPr="007201D8">
        <w:rPr>
          <w:rFonts w:ascii="Times New Roman" w:hAnsi="Times New Roman" w:cs="Times New Roman"/>
          <w:sz w:val="24"/>
          <w:szCs w:val="24"/>
        </w:rPr>
        <w:t xml:space="preserve">a conformité de sa comptabilité </w:t>
      </w:r>
      <w:r w:rsidR="00C47D97" w:rsidRPr="007201D8">
        <w:rPr>
          <w:rFonts w:ascii="Times New Roman" w:hAnsi="Times New Roman" w:cs="Times New Roman"/>
          <w:sz w:val="24"/>
          <w:szCs w:val="24"/>
        </w:rPr>
        <w:t>aux règles</w:t>
      </w:r>
      <w:r w:rsidR="008508AD">
        <w:rPr>
          <w:rFonts w:ascii="Times New Roman" w:hAnsi="Times New Roman" w:cs="Times New Roman"/>
          <w:sz w:val="24"/>
          <w:szCs w:val="24"/>
        </w:rPr>
        <w:t xml:space="preserve"> comptables et </w:t>
      </w:r>
      <w:r w:rsidR="007F2C38">
        <w:rPr>
          <w:rFonts w:ascii="Times New Roman" w:hAnsi="Times New Roman" w:cs="Times New Roman"/>
          <w:sz w:val="24"/>
          <w:szCs w:val="24"/>
        </w:rPr>
        <w:t xml:space="preserve">légales </w:t>
      </w:r>
      <w:r w:rsidR="007F2C38" w:rsidRPr="007201D8">
        <w:rPr>
          <w:rFonts w:ascii="Times New Roman" w:hAnsi="Times New Roman" w:cs="Times New Roman"/>
          <w:sz w:val="24"/>
          <w:szCs w:val="24"/>
        </w:rPr>
        <w:t>en</w:t>
      </w:r>
      <w:r w:rsidR="00C47D97" w:rsidRPr="007201D8">
        <w:rPr>
          <w:rFonts w:ascii="Times New Roman" w:hAnsi="Times New Roman" w:cs="Times New Roman"/>
          <w:sz w:val="24"/>
          <w:szCs w:val="24"/>
        </w:rPr>
        <w:t xml:space="preserve"> vigueur.</w:t>
      </w:r>
      <w:r w:rsidR="009A31EE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7B2FAC" w:rsidRPr="007201D8">
        <w:rPr>
          <w:rFonts w:ascii="Times New Roman" w:hAnsi="Times New Roman" w:cs="Times New Roman"/>
          <w:sz w:val="24"/>
          <w:szCs w:val="24"/>
        </w:rPr>
        <w:t>Il vérifiera</w:t>
      </w:r>
      <w:r w:rsidRPr="007201D8">
        <w:rPr>
          <w:rFonts w:ascii="Times New Roman" w:hAnsi="Times New Roman" w:cs="Times New Roman"/>
          <w:sz w:val="24"/>
          <w:szCs w:val="24"/>
        </w:rPr>
        <w:t xml:space="preserve"> la sincé</w:t>
      </w:r>
      <w:r w:rsidR="008A36C8" w:rsidRPr="007201D8">
        <w:rPr>
          <w:rFonts w:ascii="Times New Roman" w:hAnsi="Times New Roman" w:cs="Times New Roman"/>
          <w:sz w:val="24"/>
          <w:szCs w:val="24"/>
        </w:rPr>
        <w:t>rité</w:t>
      </w:r>
      <w:r w:rsidR="008508AD">
        <w:rPr>
          <w:rFonts w:ascii="Times New Roman" w:hAnsi="Times New Roman" w:cs="Times New Roman"/>
          <w:sz w:val="24"/>
          <w:szCs w:val="24"/>
        </w:rPr>
        <w:t>, la fidélité</w:t>
      </w:r>
      <w:r w:rsidR="008A36C8" w:rsidRPr="007201D8">
        <w:rPr>
          <w:rFonts w:ascii="Times New Roman" w:hAnsi="Times New Roman" w:cs="Times New Roman"/>
          <w:sz w:val="24"/>
          <w:szCs w:val="24"/>
        </w:rPr>
        <w:t xml:space="preserve"> et la concordance avec les </w:t>
      </w:r>
      <w:r w:rsidRPr="007201D8">
        <w:rPr>
          <w:rFonts w:ascii="Times New Roman" w:hAnsi="Times New Roman" w:cs="Times New Roman"/>
          <w:sz w:val="24"/>
          <w:szCs w:val="24"/>
        </w:rPr>
        <w:t>états financiers de synthèse, des informat</w:t>
      </w:r>
      <w:r w:rsidR="008A36C8" w:rsidRPr="007201D8">
        <w:rPr>
          <w:rFonts w:ascii="Times New Roman" w:hAnsi="Times New Roman" w:cs="Times New Roman"/>
          <w:sz w:val="24"/>
          <w:szCs w:val="24"/>
        </w:rPr>
        <w:t xml:space="preserve">ions données dans le rapport de </w:t>
      </w:r>
      <w:r w:rsidRPr="007201D8">
        <w:rPr>
          <w:rFonts w:ascii="Times New Roman" w:hAnsi="Times New Roman" w:cs="Times New Roman"/>
          <w:sz w:val="24"/>
          <w:szCs w:val="24"/>
        </w:rPr>
        <w:t>gestion du conseil d'ad</w:t>
      </w:r>
      <w:r w:rsidR="009A31EE" w:rsidRPr="007201D8">
        <w:rPr>
          <w:rFonts w:ascii="Times New Roman" w:hAnsi="Times New Roman" w:cs="Times New Roman"/>
          <w:sz w:val="24"/>
          <w:szCs w:val="24"/>
        </w:rPr>
        <w:t xml:space="preserve">ministration </w:t>
      </w:r>
      <w:r w:rsidR="00C85028" w:rsidRPr="007201D8">
        <w:rPr>
          <w:rFonts w:ascii="Times New Roman" w:hAnsi="Times New Roman" w:cs="Times New Roman"/>
          <w:sz w:val="24"/>
          <w:szCs w:val="24"/>
        </w:rPr>
        <w:t xml:space="preserve">et les états </w:t>
      </w:r>
      <w:r w:rsidRPr="007201D8">
        <w:rPr>
          <w:rFonts w:ascii="Times New Roman" w:hAnsi="Times New Roman" w:cs="Times New Roman"/>
          <w:sz w:val="24"/>
          <w:szCs w:val="24"/>
        </w:rPr>
        <w:t>de synthèse de la société adressés aux actionnaires.</w:t>
      </w:r>
    </w:p>
    <w:p w14:paraId="0CA78C60" w14:textId="77777777" w:rsidR="00C96301" w:rsidRPr="007201D8" w:rsidRDefault="00C96301" w:rsidP="00B07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0E71D" w14:textId="0CFAF4FE" w:rsidR="00233725" w:rsidRPr="007201D8" w:rsidRDefault="007B2FAC" w:rsidP="00B07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 xml:space="preserve">Il établira pour chaque </w:t>
      </w:r>
      <w:r w:rsidR="004A65CE" w:rsidRPr="007201D8">
        <w:rPr>
          <w:rFonts w:ascii="Times New Roman" w:hAnsi="Times New Roman" w:cs="Times New Roman"/>
          <w:sz w:val="24"/>
          <w:szCs w:val="24"/>
        </w:rPr>
        <w:t>exercice</w:t>
      </w:r>
      <w:r w:rsidR="00F445A8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4A65CE" w:rsidRPr="007201D8">
        <w:rPr>
          <w:rFonts w:ascii="Times New Roman" w:hAnsi="Times New Roman" w:cs="Times New Roman"/>
          <w:sz w:val="24"/>
          <w:szCs w:val="24"/>
        </w:rPr>
        <w:t>les</w:t>
      </w:r>
      <w:r w:rsidR="004A6E6E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Pr="007201D8">
        <w:rPr>
          <w:rFonts w:ascii="Times New Roman" w:hAnsi="Times New Roman" w:cs="Times New Roman"/>
          <w:sz w:val="24"/>
          <w:szCs w:val="24"/>
        </w:rPr>
        <w:t>différents rapports</w:t>
      </w:r>
      <w:r w:rsidR="004A6E6E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495914" w:rsidRPr="007201D8">
        <w:rPr>
          <w:rFonts w:ascii="Times New Roman" w:hAnsi="Times New Roman" w:cs="Times New Roman"/>
          <w:sz w:val="24"/>
          <w:szCs w:val="24"/>
        </w:rPr>
        <w:t>prévus par la règlementation en vigueur</w:t>
      </w:r>
      <w:r w:rsidR="004A6E6E" w:rsidRPr="007201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233BEF" w14:textId="77777777" w:rsidR="00233725" w:rsidRPr="007201D8" w:rsidRDefault="00233725" w:rsidP="00A4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F48F1" w14:textId="518046CC" w:rsidR="008A36C8" w:rsidRPr="007201D8" w:rsidRDefault="00E80FB3" w:rsidP="007F2C38">
      <w:pPr>
        <w:pStyle w:val="Paragraphedeliste"/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Toc228440697"/>
      <w:r w:rsidRPr="007201D8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="008A36C8" w:rsidRPr="007201D8">
        <w:rPr>
          <w:rFonts w:ascii="Times New Roman" w:hAnsi="Times New Roman" w:cs="Times New Roman"/>
          <w:b/>
          <w:sz w:val="28"/>
          <w:szCs w:val="28"/>
          <w:u w:val="single"/>
        </w:rPr>
        <w:t>roposi</w:t>
      </w:r>
      <w:r w:rsidR="00A05EF9" w:rsidRPr="007201D8">
        <w:rPr>
          <w:rFonts w:ascii="Times New Roman" w:hAnsi="Times New Roman" w:cs="Times New Roman"/>
          <w:b/>
          <w:sz w:val="28"/>
          <w:szCs w:val="28"/>
          <w:u w:val="single"/>
        </w:rPr>
        <w:t>tions techniques et financière</w:t>
      </w:r>
      <w:r w:rsidRPr="007201D8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bookmarkEnd w:id="2"/>
    </w:p>
    <w:p w14:paraId="4128F1DA" w14:textId="77777777" w:rsidR="00CE5C82" w:rsidRPr="007201D8" w:rsidRDefault="00CE5C82" w:rsidP="00CE5C82">
      <w:pPr>
        <w:pStyle w:val="Paragraphedeliste"/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5E2EFA" w14:textId="058A4EB9" w:rsidR="008A36C8" w:rsidRPr="007201D8" w:rsidRDefault="005E72F8" w:rsidP="00B5332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 xml:space="preserve">Les experts comptables </w:t>
      </w:r>
      <w:r w:rsidR="00E80FB3" w:rsidRPr="007201D8">
        <w:rPr>
          <w:rFonts w:ascii="Times New Roman" w:hAnsi="Times New Roman" w:cs="Times New Roman"/>
          <w:sz w:val="24"/>
          <w:szCs w:val="24"/>
        </w:rPr>
        <w:t>ou société</w:t>
      </w:r>
      <w:r w:rsidR="009A31EE" w:rsidRPr="007201D8">
        <w:rPr>
          <w:rFonts w:ascii="Times New Roman" w:hAnsi="Times New Roman" w:cs="Times New Roman"/>
          <w:sz w:val="24"/>
          <w:szCs w:val="24"/>
        </w:rPr>
        <w:t>s</w:t>
      </w:r>
      <w:r w:rsidR="00E80FB3" w:rsidRPr="007201D8">
        <w:rPr>
          <w:rFonts w:ascii="Times New Roman" w:hAnsi="Times New Roman" w:cs="Times New Roman"/>
          <w:sz w:val="24"/>
          <w:szCs w:val="24"/>
        </w:rPr>
        <w:t xml:space="preserve"> d’expertises comptables intéressés</w:t>
      </w:r>
      <w:r w:rsidR="008A36C8" w:rsidRPr="007201D8">
        <w:rPr>
          <w:rFonts w:ascii="Times New Roman" w:hAnsi="Times New Roman" w:cs="Times New Roman"/>
          <w:sz w:val="24"/>
          <w:szCs w:val="24"/>
        </w:rPr>
        <w:t xml:space="preserve"> doivent fournir</w:t>
      </w:r>
      <w:r w:rsidR="00E80FB3" w:rsidRPr="007201D8">
        <w:rPr>
          <w:rFonts w:ascii="Times New Roman" w:hAnsi="Times New Roman" w:cs="Times New Roman"/>
          <w:sz w:val="24"/>
          <w:szCs w:val="24"/>
        </w:rPr>
        <w:t>,</w:t>
      </w:r>
      <w:r w:rsidR="008A36C8" w:rsidRPr="007201D8">
        <w:rPr>
          <w:rFonts w:ascii="Times New Roman" w:hAnsi="Times New Roman" w:cs="Times New Roman"/>
          <w:sz w:val="24"/>
          <w:szCs w:val="24"/>
        </w:rPr>
        <w:t xml:space="preserve"> une proposition technique et financière</w:t>
      </w:r>
      <w:r w:rsidR="00E80FB3" w:rsidRPr="007201D8">
        <w:rPr>
          <w:rFonts w:ascii="Times New Roman" w:hAnsi="Times New Roman" w:cs="Times New Roman"/>
          <w:sz w:val="24"/>
          <w:szCs w:val="24"/>
        </w:rPr>
        <w:t>,</w:t>
      </w:r>
      <w:r w:rsidR="00F74D28" w:rsidRPr="007201D8">
        <w:rPr>
          <w:rFonts w:ascii="Times New Roman" w:hAnsi="Times New Roman" w:cs="Times New Roman"/>
          <w:sz w:val="24"/>
          <w:szCs w:val="24"/>
        </w:rPr>
        <w:t xml:space="preserve"> à</w:t>
      </w:r>
      <w:r w:rsidR="008A36C8" w:rsidRPr="007201D8">
        <w:rPr>
          <w:rFonts w:ascii="Times New Roman" w:hAnsi="Times New Roman" w:cs="Times New Roman"/>
          <w:sz w:val="24"/>
          <w:szCs w:val="24"/>
        </w:rPr>
        <w:t xml:space="preserve"> laquelle </w:t>
      </w:r>
      <w:r w:rsidR="00117B49" w:rsidRPr="007201D8">
        <w:rPr>
          <w:rFonts w:ascii="Times New Roman" w:hAnsi="Times New Roman" w:cs="Times New Roman"/>
          <w:sz w:val="24"/>
          <w:szCs w:val="24"/>
        </w:rPr>
        <w:t>seront</w:t>
      </w:r>
      <w:r w:rsidR="008A36C8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117B49" w:rsidRPr="007201D8">
        <w:rPr>
          <w:rFonts w:ascii="Times New Roman" w:hAnsi="Times New Roman" w:cs="Times New Roman"/>
          <w:sz w:val="24"/>
          <w:szCs w:val="24"/>
        </w:rPr>
        <w:t>annexés</w:t>
      </w:r>
      <w:r w:rsidR="008A36C8" w:rsidRPr="007201D8">
        <w:rPr>
          <w:rFonts w:ascii="Times New Roman" w:hAnsi="Times New Roman" w:cs="Times New Roman"/>
          <w:sz w:val="24"/>
          <w:szCs w:val="24"/>
        </w:rPr>
        <w:t xml:space="preserve"> les </w:t>
      </w:r>
      <w:r w:rsidR="00117B49" w:rsidRPr="007201D8">
        <w:rPr>
          <w:rFonts w:ascii="Times New Roman" w:hAnsi="Times New Roman" w:cs="Times New Roman"/>
          <w:sz w:val="24"/>
          <w:szCs w:val="24"/>
        </w:rPr>
        <w:t xml:space="preserve">documents administratifs suivants justifiant </w:t>
      </w:r>
      <w:r w:rsidRPr="007201D8">
        <w:rPr>
          <w:rFonts w:ascii="Times New Roman" w:hAnsi="Times New Roman" w:cs="Times New Roman"/>
          <w:sz w:val="24"/>
          <w:szCs w:val="24"/>
        </w:rPr>
        <w:t xml:space="preserve">de </w:t>
      </w:r>
      <w:r w:rsidR="00E80FB3" w:rsidRPr="007201D8">
        <w:rPr>
          <w:rFonts w:ascii="Times New Roman" w:hAnsi="Times New Roman" w:cs="Times New Roman"/>
          <w:sz w:val="24"/>
          <w:szCs w:val="24"/>
        </w:rPr>
        <w:t>la régularité de leurs</w:t>
      </w:r>
      <w:r w:rsidR="00117B49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7201D8" w:rsidRPr="007201D8">
        <w:rPr>
          <w:rFonts w:ascii="Times New Roman" w:hAnsi="Times New Roman" w:cs="Times New Roman"/>
          <w:sz w:val="24"/>
          <w:szCs w:val="24"/>
        </w:rPr>
        <w:t>activités :</w:t>
      </w:r>
      <w:r w:rsidR="00700B4C" w:rsidRPr="00720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1C405" w14:textId="46E5D15C" w:rsidR="0091144E" w:rsidRPr="007201D8" w:rsidRDefault="0091144E" w:rsidP="00B5332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 xml:space="preserve">Une attestation d’inscription au tableau de l’Ordre des Experts Comptables Agréés de </w:t>
      </w:r>
    </w:p>
    <w:p w14:paraId="3744E076" w14:textId="5AC1D4C3" w:rsidR="00B53323" w:rsidRPr="00B53323" w:rsidRDefault="0091144E" w:rsidP="00B53323">
      <w:pPr>
        <w:pStyle w:val="Paragraphedeliste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01D8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7201D8">
        <w:rPr>
          <w:rFonts w:ascii="Times New Roman" w:hAnsi="Times New Roman" w:cs="Times New Roman"/>
          <w:sz w:val="24"/>
          <w:szCs w:val="24"/>
        </w:rPr>
        <w:t xml:space="preserve"> République de Guinée ;</w:t>
      </w:r>
    </w:p>
    <w:p w14:paraId="29A54276" w14:textId="52770EDF" w:rsidR="0091144E" w:rsidRPr="007201D8" w:rsidRDefault="0091144E" w:rsidP="00B53323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 xml:space="preserve">Une attestation d’inscription sur la liste des Commissaires aux Comptes tenue près </w:t>
      </w:r>
      <w:proofErr w:type="gramStart"/>
      <w:r w:rsidRPr="007201D8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720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EBBB" w14:textId="1A8C5E0C" w:rsidR="0091144E" w:rsidRPr="007201D8" w:rsidRDefault="0091144E" w:rsidP="00B5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 xml:space="preserve">      Cour d’Appel ;</w:t>
      </w:r>
    </w:p>
    <w:p w14:paraId="7748784A" w14:textId="19327644" w:rsidR="005E72F8" w:rsidRPr="007201D8" w:rsidRDefault="008A5E36" w:rsidP="00A42C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A05EF9" w:rsidRPr="007201D8">
        <w:rPr>
          <w:rFonts w:ascii="Times New Roman" w:hAnsi="Times New Roman" w:cs="Times New Roman"/>
          <w:sz w:val="24"/>
          <w:szCs w:val="24"/>
        </w:rPr>
        <w:t>ne présentation succincte de l’</w:t>
      </w:r>
      <w:r w:rsidR="00E80FB3" w:rsidRPr="007201D8">
        <w:rPr>
          <w:rFonts w:ascii="Times New Roman" w:hAnsi="Times New Roman" w:cs="Times New Roman"/>
          <w:sz w:val="24"/>
          <w:szCs w:val="24"/>
        </w:rPr>
        <w:t>expert-comptable</w:t>
      </w:r>
      <w:r w:rsidR="00A05EF9" w:rsidRPr="007201D8">
        <w:rPr>
          <w:rFonts w:ascii="Times New Roman" w:hAnsi="Times New Roman" w:cs="Times New Roman"/>
          <w:sz w:val="24"/>
          <w:szCs w:val="24"/>
        </w:rPr>
        <w:t xml:space="preserve"> et du cabinet faisant ressortir</w:t>
      </w:r>
      <w:r w:rsidR="00E80FB3" w:rsidRPr="007201D8">
        <w:rPr>
          <w:rFonts w:ascii="Times New Roman" w:hAnsi="Times New Roman" w:cs="Times New Roman"/>
          <w:sz w:val="24"/>
          <w:szCs w:val="24"/>
        </w:rPr>
        <w:t xml:space="preserve">, </w:t>
      </w:r>
      <w:r w:rsidRPr="007201D8">
        <w:rPr>
          <w:rFonts w:ascii="Times New Roman" w:hAnsi="Times New Roman" w:cs="Times New Roman"/>
          <w:sz w:val="24"/>
          <w:szCs w:val="24"/>
        </w:rPr>
        <w:t>la forme</w:t>
      </w:r>
      <w:r w:rsidR="00E80FB3" w:rsidRPr="007201D8">
        <w:rPr>
          <w:rFonts w:ascii="Times New Roman" w:hAnsi="Times New Roman" w:cs="Times New Roman"/>
          <w:sz w:val="24"/>
          <w:szCs w:val="24"/>
        </w:rPr>
        <w:t xml:space="preserve"> juridique, la date de </w:t>
      </w:r>
      <w:r w:rsidR="00A05EF9" w:rsidRPr="007201D8">
        <w:rPr>
          <w:rFonts w:ascii="Times New Roman" w:hAnsi="Times New Roman" w:cs="Times New Roman"/>
          <w:sz w:val="24"/>
          <w:szCs w:val="24"/>
        </w:rPr>
        <w:t xml:space="preserve">création, </w:t>
      </w:r>
      <w:r w:rsidR="009A31EE" w:rsidRPr="007201D8">
        <w:rPr>
          <w:rFonts w:ascii="Times New Roman" w:hAnsi="Times New Roman" w:cs="Times New Roman"/>
          <w:sz w:val="24"/>
          <w:szCs w:val="24"/>
        </w:rPr>
        <w:t xml:space="preserve">le </w:t>
      </w:r>
      <w:r w:rsidR="00A05EF9" w:rsidRPr="007201D8">
        <w:rPr>
          <w:rFonts w:ascii="Times New Roman" w:hAnsi="Times New Roman" w:cs="Times New Roman"/>
          <w:sz w:val="24"/>
          <w:szCs w:val="24"/>
        </w:rPr>
        <w:t xml:space="preserve">CV du </w:t>
      </w:r>
      <w:r w:rsidR="008A36C8" w:rsidRPr="007201D8">
        <w:rPr>
          <w:rFonts w:ascii="Times New Roman" w:hAnsi="Times New Roman" w:cs="Times New Roman"/>
          <w:sz w:val="24"/>
          <w:szCs w:val="24"/>
        </w:rPr>
        <w:t>personnel clé</w:t>
      </w:r>
      <w:r w:rsidR="00A05EF9" w:rsidRPr="007201D8">
        <w:rPr>
          <w:rFonts w:ascii="Times New Roman" w:hAnsi="Times New Roman" w:cs="Times New Roman"/>
          <w:sz w:val="24"/>
          <w:szCs w:val="24"/>
        </w:rPr>
        <w:t xml:space="preserve"> justifiant </w:t>
      </w:r>
      <w:r w:rsidR="008A36C8" w:rsidRPr="007201D8">
        <w:rPr>
          <w:rFonts w:ascii="Times New Roman" w:hAnsi="Times New Roman" w:cs="Times New Roman"/>
          <w:sz w:val="24"/>
          <w:szCs w:val="24"/>
        </w:rPr>
        <w:t>d’</w:t>
      </w:r>
      <w:r w:rsidR="00A05EF9" w:rsidRPr="007201D8">
        <w:rPr>
          <w:rFonts w:ascii="Times New Roman" w:hAnsi="Times New Roman" w:cs="Times New Roman"/>
          <w:sz w:val="24"/>
          <w:szCs w:val="24"/>
        </w:rPr>
        <w:t>une expérience avérée</w:t>
      </w:r>
      <w:r w:rsidR="00A93BBF">
        <w:rPr>
          <w:rFonts w:ascii="Times New Roman" w:hAnsi="Times New Roman" w:cs="Times New Roman"/>
          <w:sz w:val="24"/>
          <w:szCs w:val="24"/>
        </w:rPr>
        <w:t xml:space="preserve"> dans le domaine bancaire</w:t>
      </w:r>
      <w:r w:rsidR="008A36C8" w:rsidRPr="007201D8">
        <w:rPr>
          <w:rFonts w:ascii="Times New Roman" w:hAnsi="Times New Roman" w:cs="Times New Roman"/>
          <w:sz w:val="24"/>
          <w:szCs w:val="24"/>
        </w:rPr>
        <w:t xml:space="preserve">, </w:t>
      </w:r>
      <w:r w:rsidR="00047936" w:rsidRPr="007201D8">
        <w:rPr>
          <w:rFonts w:ascii="Times New Roman" w:hAnsi="Times New Roman" w:cs="Times New Roman"/>
          <w:sz w:val="24"/>
          <w:szCs w:val="24"/>
        </w:rPr>
        <w:t>les références des missions de c</w:t>
      </w:r>
      <w:r w:rsidR="008A36C8" w:rsidRPr="007201D8">
        <w:rPr>
          <w:rFonts w:ascii="Times New Roman" w:hAnsi="Times New Roman" w:cs="Times New Roman"/>
          <w:sz w:val="24"/>
          <w:szCs w:val="24"/>
        </w:rPr>
        <w:t>ommissariat aux comptes</w:t>
      </w:r>
      <w:r w:rsidR="00A05EF9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8A36C8" w:rsidRPr="007201D8">
        <w:rPr>
          <w:rFonts w:ascii="Times New Roman" w:hAnsi="Times New Roman" w:cs="Times New Roman"/>
          <w:sz w:val="24"/>
          <w:szCs w:val="24"/>
        </w:rPr>
        <w:t>effectuées</w:t>
      </w:r>
      <w:r w:rsidR="005E72F8" w:rsidRPr="007201D8">
        <w:rPr>
          <w:rFonts w:ascii="Times New Roman" w:hAnsi="Times New Roman" w:cs="Times New Roman"/>
          <w:sz w:val="24"/>
          <w:szCs w:val="24"/>
        </w:rPr>
        <w:t> ;</w:t>
      </w:r>
    </w:p>
    <w:p w14:paraId="4E8442BF" w14:textId="082ADF6F" w:rsidR="003E5928" w:rsidRPr="00B53323" w:rsidRDefault="003E5928" w:rsidP="00B53323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>Une attestation d’inscription au Registre du Commerce et du Crédit Mobilier (RCCM) ;</w:t>
      </w:r>
    </w:p>
    <w:p w14:paraId="60426177" w14:textId="08B11CD8" w:rsidR="009A31EE" w:rsidRPr="00B53323" w:rsidRDefault="008A5E36" w:rsidP="00B5332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>U</w:t>
      </w:r>
      <w:r w:rsidR="00E80FB3" w:rsidRPr="007201D8">
        <w:rPr>
          <w:rFonts w:ascii="Times New Roman" w:hAnsi="Times New Roman" w:cs="Times New Roman"/>
          <w:sz w:val="24"/>
          <w:szCs w:val="24"/>
        </w:rPr>
        <w:t xml:space="preserve">ne attestation d’immatriculation </w:t>
      </w:r>
      <w:r w:rsidRPr="007201D8">
        <w:rPr>
          <w:rFonts w:ascii="Times New Roman" w:hAnsi="Times New Roman" w:cs="Times New Roman"/>
          <w:sz w:val="24"/>
          <w:szCs w:val="24"/>
        </w:rPr>
        <w:t>fiscale ;</w:t>
      </w:r>
      <w:r w:rsidR="00CE5C82" w:rsidRPr="00720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1EBD8" w14:textId="2C180C6B" w:rsidR="008A36C8" w:rsidRPr="007201D8" w:rsidRDefault="008A5E36" w:rsidP="00B118B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>U</w:t>
      </w:r>
      <w:r w:rsidR="005E72F8" w:rsidRPr="007201D8">
        <w:rPr>
          <w:rFonts w:ascii="Times New Roman" w:hAnsi="Times New Roman" w:cs="Times New Roman"/>
          <w:sz w:val="24"/>
          <w:szCs w:val="24"/>
        </w:rPr>
        <w:t xml:space="preserve">n justificatif de régularité vis-à-vis de la </w:t>
      </w:r>
      <w:r w:rsidRPr="007201D8">
        <w:rPr>
          <w:rFonts w:ascii="Times New Roman" w:hAnsi="Times New Roman" w:cs="Times New Roman"/>
          <w:sz w:val="24"/>
          <w:szCs w:val="24"/>
        </w:rPr>
        <w:t>sécurité sociale</w:t>
      </w:r>
      <w:r w:rsidR="005E72F8" w:rsidRPr="007201D8">
        <w:rPr>
          <w:rFonts w:ascii="Times New Roman" w:hAnsi="Times New Roman" w:cs="Times New Roman"/>
          <w:sz w:val="24"/>
          <w:szCs w:val="24"/>
        </w:rPr>
        <w:t xml:space="preserve"> (</w:t>
      </w:r>
      <w:r w:rsidR="008A36C8" w:rsidRPr="007201D8">
        <w:rPr>
          <w:rFonts w:ascii="Times New Roman" w:hAnsi="Times New Roman" w:cs="Times New Roman"/>
          <w:sz w:val="24"/>
          <w:szCs w:val="24"/>
        </w:rPr>
        <w:t xml:space="preserve">CNSS) et </w:t>
      </w:r>
      <w:r w:rsidR="005E72F8" w:rsidRPr="007201D8">
        <w:rPr>
          <w:rFonts w:ascii="Times New Roman" w:hAnsi="Times New Roman" w:cs="Times New Roman"/>
          <w:sz w:val="24"/>
          <w:szCs w:val="24"/>
        </w:rPr>
        <w:t>de l’administration fiscale (Attestation de régularité fiscale)</w:t>
      </w:r>
      <w:r w:rsidR="00A05EF9" w:rsidRPr="007201D8">
        <w:rPr>
          <w:rFonts w:ascii="Times New Roman" w:hAnsi="Times New Roman" w:cs="Times New Roman"/>
          <w:sz w:val="24"/>
          <w:szCs w:val="24"/>
        </w:rPr>
        <w:t>.</w:t>
      </w:r>
      <w:r w:rsidR="00CE5C82" w:rsidRPr="00720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1A099" w14:textId="77777777" w:rsidR="00A05EF9" w:rsidRPr="007201D8" w:rsidRDefault="00A05EF9" w:rsidP="00B11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8D74A" w14:textId="02AD4B99" w:rsidR="00D96E58" w:rsidRPr="007201D8" w:rsidRDefault="00BD1866" w:rsidP="00A4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AF0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="00A05EF9" w:rsidRPr="00CE2AF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05EF9" w:rsidRPr="007201D8">
        <w:rPr>
          <w:rFonts w:ascii="Times New Roman" w:hAnsi="Times New Roman" w:cs="Times New Roman"/>
          <w:b/>
          <w:bCs/>
          <w:sz w:val="24"/>
          <w:szCs w:val="24"/>
        </w:rPr>
        <w:t>pparten</w:t>
      </w:r>
      <w:r w:rsidR="00A42C38">
        <w:rPr>
          <w:rFonts w:ascii="Times New Roman" w:hAnsi="Times New Roman" w:cs="Times New Roman"/>
          <w:b/>
          <w:bCs/>
          <w:sz w:val="24"/>
          <w:szCs w:val="24"/>
        </w:rPr>
        <w:t>ance</w:t>
      </w:r>
      <w:r w:rsidR="00A05EF9" w:rsidRPr="007201D8">
        <w:rPr>
          <w:rFonts w:ascii="Times New Roman" w:hAnsi="Times New Roman" w:cs="Times New Roman"/>
          <w:b/>
          <w:bCs/>
          <w:sz w:val="24"/>
          <w:szCs w:val="24"/>
        </w:rPr>
        <w:t xml:space="preserve"> à un réseau de c</w:t>
      </w:r>
      <w:r w:rsidR="00B1610E" w:rsidRPr="007201D8">
        <w:rPr>
          <w:rFonts w:ascii="Times New Roman" w:hAnsi="Times New Roman" w:cs="Times New Roman"/>
          <w:b/>
          <w:bCs/>
          <w:sz w:val="24"/>
          <w:szCs w:val="24"/>
        </w:rPr>
        <w:t xml:space="preserve">abinets internationaux </w:t>
      </w:r>
      <w:r w:rsidR="00A05EF9" w:rsidRPr="007201D8">
        <w:rPr>
          <w:rFonts w:ascii="Times New Roman" w:hAnsi="Times New Roman" w:cs="Times New Roman"/>
          <w:b/>
          <w:bCs/>
          <w:sz w:val="24"/>
          <w:szCs w:val="24"/>
        </w:rPr>
        <w:t>sera un atout.</w:t>
      </w:r>
    </w:p>
    <w:p w14:paraId="7D285D30" w14:textId="108BE4C4" w:rsidR="00B07A4C" w:rsidRPr="007201D8" w:rsidRDefault="00B07A4C" w:rsidP="00A4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3DD16" w14:textId="77777777" w:rsidR="00B07A4C" w:rsidRPr="007201D8" w:rsidRDefault="00B07A4C" w:rsidP="00A41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A2C64" w14:textId="01B4AA18" w:rsidR="009A31EE" w:rsidRPr="007201D8" w:rsidRDefault="00D96E58" w:rsidP="007F2C38">
      <w:pPr>
        <w:pStyle w:val="Paragraphedeliste"/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3" w:name="_Toc228440698"/>
      <w:r w:rsidRPr="007201D8">
        <w:rPr>
          <w:rFonts w:ascii="Times New Roman" w:hAnsi="Times New Roman" w:cs="Times New Roman"/>
          <w:b/>
          <w:sz w:val="28"/>
          <w:szCs w:val="28"/>
          <w:u w:val="single"/>
        </w:rPr>
        <w:t>Mod</w:t>
      </w:r>
      <w:r w:rsidR="00073C5A" w:rsidRPr="007201D8">
        <w:rPr>
          <w:rFonts w:ascii="Times New Roman" w:hAnsi="Times New Roman" w:cs="Times New Roman"/>
          <w:b/>
          <w:sz w:val="28"/>
          <w:szCs w:val="28"/>
          <w:u w:val="single"/>
        </w:rPr>
        <w:t>alités de s</w:t>
      </w:r>
      <w:r w:rsidRPr="007201D8">
        <w:rPr>
          <w:rFonts w:ascii="Times New Roman" w:hAnsi="Times New Roman" w:cs="Times New Roman"/>
          <w:b/>
          <w:sz w:val="28"/>
          <w:szCs w:val="28"/>
          <w:u w:val="single"/>
        </w:rPr>
        <w:t>élection</w:t>
      </w:r>
      <w:bookmarkEnd w:id="3"/>
      <w:r w:rsidRPr="007201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AEE1A56" w14:textId="77777777" w:rsidR="00CE5C82" w:rsidRPr="007201D8" w:rsidRDefault="00CE5C82" w:rsidP="00CE5C82">
      <w:pPr>
        <w:pStyle w:val="Paragraphedeliste"/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B5BD6A" w14:textId="2EC45960" w:rsidR="00134BF3" w:rsidRPr="007201D8" w:rsidRDefault="00D96E58" w:rsidP="00A42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 xml:space="preserve">Une évaluation des </w:t>
      </w:r>
      <w:r w:rsidR="00127A3F" w:rsidRPr="007201D8">
        <w:rPr>
          <w:rFonts w:ascii="Times New Roman" w:hAnsi="Times New Roman" w:cs="Times New Roman"/>
          <w:sz w:val="24"/>
          <w:szCs w:val="24"/>
        </w:rPr>
        <w:t>soumissionnaires sera</w:t>
      </w:r>
      <w:r w:rsidRPr="007201D8">
        <w:rPr>
          <w:rFonts w:ascii="Times New Roman" w:hAnsi="Times New Roman" w:cs="Times New Roman"/>
          <w:sz w:val="24"/>
          <w:szCs w:val="24"/>
        </w:rPr>
        <w:t xml:space="preserve"> faite sur la base de </w:t>
      </w:r>
      <w:r w:rsidR="008A5E36" w:rsidRPr="007201D8">
        <w:rPr>
          <w:rFonts w:ascii="Times New Roman" w:hAnsi="Times New Roman" w:cs="Times New Roman"/>
          <w:sz w:val="24"/>
          <w:szCs w:val="24"/>
        </w:rPr>
        <w:t>leurs offres techniques</w:t>
      </w:r>
      <w:r w:rsidR="00127A3F" w:rsidRPr="007201D8">
        <w:rPr>
          <w:rFonts w:ascii="Times New Roman" w:hAnsi="Times New Roman" w:cs="Times New Roman"/>
          <w:sz w:val="24"/>
          <w:szCs w:val="24"/>
        </w:rPr>
        <w:t xml:space="preserve"> et financières. </w:t>
      </w:r>
      <w:r w:rsidRPr="007201D8">
        <w:rPr>
          <w:rFonts w:ascii="Times New Roman" w:hAnsi="Times New Roman" w:cs="Times New Roman"/>
          <w:sz w:val="24"/>
          <w:szCs w:val="24"/>
        </w:rPr>
        <w:t>A l’issue de</w:t>
      </w:r>
      <w:r w:rsidR="000C6390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F46381" w:rsidRPr="007201D8">
        <w:rPr>
          <w:rFonts w:ascii="Times New Roman" w:hAnsi="Times New Roman" w:cs="Times New Roman"/>
          <w:sz w:val="24"/>
          <w:szCs w:val="24"/>
        </w:rPr>
        <w:t>cette évaluation</w:t>
      </w:r>
      <w:r w:rsidR="004E0E0D" w:rsidRPr="007201D8">
        <w:rPr>
          <w:rFonts w:ascii="Times New Roman" w:hAnsi="Times New Roman" w:cs="Times New Roman"/>
          <w:sz w:val="24"/>
          <w:szCs w:val="24"/>
        </w:rPr>
        <w:t>, la b</w:t>
      </w:r>
      <w:r w:rsidRPr="007201D8">
        <w:rPr>
          <w:rFonts w:ascii="Times New Roman" w:hAnsi="Times New Roman" w:cs="Times New Roman"/>
          <w:sz w:val="24"/>
          <w:szCs w:val="24"/>
        </w:rPr>
        <w:t xml:space="preserve">anque </w:t>
      </w:r>
      <w:r w:rsidR="004E0E0D" w:rsidRPr="007201D8">
        <w:rPr>
          <w:rFonts w:ascii="Times New Roman" w:hAnsi="Times New Roman" w:cs="Times New Roman"/>
          <w:sz w:val="24"/>
          <w:szCs w:val="24"/>
        </w:rPr>
        <w:t>informe</w:t>
      </w:r>
      <w:r w:rsidR="00F46381" w:rsidRPr="007201D8">
        <w:rPr>
          <w:rFonts w:ascii="Times New Roman" w:hAnsi="Times New Roman" w:cs="Times New Roman"/>
          <w:sz w:val="24"/>
          <w:szCs w:val="24"/>
        </w:rPr>
        <w:t>ra</w:t>
      </w:r>
      <w:r w:rsidR="004E0E0D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Pr="007201D8">
        <w:rPr>
          <w:rFonts w:ascii="Times New Roman" w:hAnsi="Times New Roman" w:cs="Times New Roman"/>
          <w:sz w:val="24"/>
          <w:szCs w:val="24"/>
        </w:rPr>
        <w:t>par écrit, les</w:t>
      </w:r>
      <w:r w:rsidR="005E3A0E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Pr="007201D8">
        <w:rPr>
          <w:rFonts w:ascii="Times New Roman" w:hAnsi="Times New Roman" w:cs="Times New Roman"/>
          <w:sz w:val="24"/>
          <w:szCs w:val="24"/>
        </w:rPr>
        <w:t xml:space="preserve">soumissionnaires </w:t>
      </w:r>
      <w:r w:rsidR="00134BF3" w:rsidRPr="007201D8">
        <w:rPr>
          <w:rFonts w:ascii="Times New Roman" w:hAnsi="Times New Roman" w:cs="Times New Roman"/>
          <w:sz w:val="24"/>
          <w:szCs w:val="24"/>
        </w:rPr>
        <w:t xml:space="preserve">qui ont été </w:t>
      </w:r>
      <w:r w:rsidR="005E3A0E" w:rsidRPr="007201D8">
        <w:rPr>
          <w:rFonts w:ascii="Times New Roman" w:hAnsi="Times New Roman" w:cs="Times New Roman"/>
          <w:sz w:val="24"/>
          <w:szCs w:val="24"/>
        </w:rPr>
        <w:t>retenu</w:t>
      </w:r>
      <w:r w:rsidR="00134BF3" w:rsidRPr="007201D8">
        <w:rPr>
          <w:rFonts w:ascii="Times New Roman" w:hAnsi="Times New Roman" w:cs="Times New Roman"/>
          <w:sz w:val="24"/>
          <w:szCs w:val="24"/>
        </w:rPr>
        <w:t>s</w:t>
      </w:r>
      <w:r w:rsidR="00F46381" w:rsidRPr="007201D8">
        <w:rPr>
          <w:rFonts w:ascii="Times New Roman" w:hAnsi="Times New Roman" w:cs="Times New Roman"/>
          <w:sz w:val="24"/>
          <w:szCs w:val="24"/>
        </w:rPr>
        <w:t xml:space="preserve"> comme commissaires aux comptes titulaire et suppléant</w:t>
      </w:r>
      <w:r w:rsidR="00A42C38">
        <w:rPr>
          <w:rFonts w:ascii="Times New Roman" w:hAnsi="Times New Roman" w:cs="Times New Roman"/>
          <w:sz w:val="24"/>
          <w:szCs w:val="24"/>
        </w:rPr>
        <w:t>s</w:t>
      </w:r>
      <w:r w:rsidR="00F46381" w:rsidRPr="007201D8">
        <w:rPr>
          <w:rFonts w:ascii="Times New Roman" w:hAnsi="Times New Roman" w:cs="Times New Roman"/>
          <w:sz w:val="24"/>
          <w:szCs w:val="24"/>
        </w:rPr>
        <w:t>.</w:t>
      </w:r>
      <w:r w:rsidR="005E3A0E" w:rsidRPr="00720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F9774" w14:textId="45A2B8A1" w:rsidR="00F46381" w:rsidRPr="007201D8" w:rsidRDefault="00F46381" w:rsidP="00A42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 xml:space="preserve">Les commissaires aux comptes retenus, seront soumis à l’approbation de la </w:t>
      </w:r>
      <w:r w:rsidR="00CE5C82" w:rsidRPr="007201D8">
        <w:rPr>
          <w:rFonts w:ascii="Times New Roman" w:hAnsi="Times New Roman" w:cs="Times New Roman"/>
          <w:sz w:val="24"/>
          <w:szCs w:val="24"/>
        </w:rPr>
        <w:t>BCRG</w:t>
      </w:r>
      <w:r w:rsidR="004A65CE" w:rsidRPr="007201D8">
        <w:rPr>
          <w:rFonts w:ascii="Times New Roman" w:hAnsi="Times New Roman" w:cs="Times New Roman"/>
          <w:sz w:val="24"/>
          <w:szCs w:val="24"/>
        </w:rPr>
        <w:t xml:space="preserve"> avant</w:t>
      </w:r>
      <w:r w:rsidRPr="007201D8">
        <w:rPr>
          <w:rFonts w:ascii="Times New Roman" w:hAnsi="Times New Roman" w:cs="Times New Roman"/>
          <w:sz w:val="24"/>
          <w:szCs w:val="24"/>
        </w:rPr>
        <w:t xml:space="preserve"> leur prise de fonction.</w:t>
      </w:r>
    </w:p>
    <w:p w14:paraId="6930511D" w14:textId="77777777" w:rsidR="00D96E58" w:rsidRPr="007201D8" w:rsidRDefault="00D96E58" w:rsidP="00D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DA4BBEB" w14:textId="5BAD8CE3" w:rsidR="009A31EE" w:rsidRPr="007201D8" w:rsidRDefault="009A31EE" w:rsidP="007F2C38">
      <w:pPr>
        <w:pStyle w:val="Paragraphedeliste"/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4" w:name="_Toc228440699"/>
      <w:r w:rsidRPr="007201D8">
        <w:rPr>
          <w:rFonts w:ascii="Times New Roman" w:hAnsi="Times New Roman" w:cs="Times New Roman"/>
          <w:b/>
          <w:sz w:val="28"/>
          <w:szCs w:val="28"/>
          <w:u w:val="single"/>
        </w:rPr>
        <w:t>Dépôt des dossiers de soumission</w:t>
      </w:r>
      <w:bookmarkEnd w:id="4"/>
    </w:p>
    <w:p w14:paraId="2C02BCEE" w14:textId="77777777" w:rsidR="00B07A4C" w:rsidRPr="007201D8" w:rsidRDefault="00B07A4C" w:rsidP="00B07A4C">
      <w:pPr>
        <w:pStyle w:val="Paragraphedeliste"/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2B27AA" w14:textId="33473424" w:rsidR="009A31EE" w:rsidRPr="007201D8" w:rsidRDefault="009A31EE" w:rsidP="00A42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1D8">
        <w:rPr>
          <w:rFonts w:ascii="Times New Roman" w:hAnsi="Times New Roman" w:cs="Times New Roman"/>
          <w:sz w:val="24"/>
          <w:szCs w:val="24"/>
        </w:rPr>
        <w:t>Les dossiers de soumission comportant les documents mentionnés ci-dessus, doivent parvenir</w:t>
      </w:r>
      <w:r w:rsidR="00C36ABD" w:rsidRPr="007201D8">
        <w:rPr>
          <w:rFonts w:ascii="Times New Roman" w:hAnsi="Times New Roman" w:cs="Times New Roman"/>
          <w:sz w:val="24"/>
          <w:szCs w:val="24"/>
        </w:rPr>
        <w:t xml:space="preserve"> sous plis fermé à</w:t>
      </w:r>
      <w:r w:rsidRPr="007201D8">
        <w:rPr>
          <w:rFonts w:ascii="Times New Roman" w:hAnsi="Times New Roman" w:cs="Times New Roman"/>
          <w:sz w:val="24"/>
          <w:szCs w:val="24"/>
        </w:rPr>
        <w:t xml:space="preserve"> la Banque Islamique d</w:t>
      </w:r>
      <w:r w:rsidR="00B07A4C" w:rsidRPr="007201D8">
        <w:rPr>
          <w:rFonts w:ascii="Times New Roman" w:hAnsi="Times New Roman" w:cs="Times New Roman"/>
          <w:sz w:val="24"/>
          <w:szCs w:val="24"/>
        </w:rPr>
        <w:t>e Guinée</w:t>
      </w:r>
      <w:r w:rsidR="00C36ABD" w:rsidRPr="007201D8">
        <w:rPr>
          <w:rFonts w:ascii="Times New Roman" w:hAnsi="Times New Roman" w:cs="Times New Roman"/>
          <w:sz w:val="24"/>
          <w:szCs w:val="24"/>
        </w:rPr>
        <w:t xml:space="preserve">, au plus tard </w:t>
      </w:r>
      <w:r w:rsidR="008A5E36" w:rsidRPr="007201D8">
        <w:rPr>
          <w:rFonts w:ascii="Times New Roman" w:hAnsi="Times New Roman" w:cs="Times New Roman"/>
          <w:sz w:val="24"/>
          <w:szCs w:val="24"/>
        </w:rPr>
        <w:t>le</w:t>
      </w:r>
      <w:r w:rsidR="00C36ABD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CE2AF0">
        <w:rPr>
          <w:rFonts w:ascii="Times New Roman" w:hAnsi="Times New Roman" w:cs="Times New Roman"/>
          <w:sz w:val="24"/>
          <w:szCs w:val="24"/>
        </w:rPr>
        <w:t>1</w:t>
      </w:r>
      <w:r w:rsidR="00A42C38">
        <w:rPr>
          <w:rFonts w:ascii="Times New Roman" w:hAnsi="Times New Roman" w:cs="Times New Roman"/>
          <w:sz w:val="24"/>
          <w:szCs w:val="24"/>
        </w:rPr>
        <w:t>0</w:t>
      </w:r>
      <w:r w:rsidR="007201D8">
        <w:rPr>
          <w:rFonts w:ascii="Times New Roman" w:hAnsi="Times New Roman" w:cs="Times New Roman"/>
          <w:sz w:val="24"/>
          <w:szCs w:val="24"/>
        </w:rPr>
        <w:t xml:space="preserve"> </w:t>
      </w:r>
      <w:r w:rsidR="00CE2AF0">
        <w:rPr>
          <w:rFonts w:ascii="Times New Roman" w:hAnsi="Times New Roman" w:cs="Times New Roman"/>
          <w:sz w:val="24"/>
          <w:szCs w:val="24"/>
        </w:rPr>
        <w:t>mai</w:t>
      </w:r>
      <w:r w:rsidR="008A5E36" w:rsidRPr="007201D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42C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5E36" w:rsidRPr="007201D8">
        <w:rPr>
          <w:rFonts w:ascii="Times New Roman" w:hAnsi="Times New Roman" w:cs="Times New Roman"/>
          <w:b/>
          <w:bCs/>
          <w:sz w:val="24"/>
          <w:szCs w:val="24"/>
        </w:rPr>
        <w:t xml:space="preserve"> à 17h00</w:t>
      </w:r>
      <w:r w:rsidR="008A5E36" w:rsidRPr="007201D8">
        <w:rPr>
          <w:rFonts w:ascii="Times New Roman" w:hAnsi="Times New Roman" w:cs="Times New Roman"/>
          <w:sz w:val="24"/>
          <w:szCs w:val="24"/>
        </w:rPr>
        <w:t xml:space="preserve"> </w:t>
      </w:r>
      <w:r w:rsidRPr="007201D8">
        <w:rPr>
          <w:rFonts w:ascii="Times New Roman" w:hAnsi="Times New Roman" w:cs="Times New Roman"/>
          <w:sz w:val="24"/>
          <w:szCs w:val="24"/>
        </w:rPr>
        <w:t xml:space="preserve">avec la mention </w:t>
      </w:r>
      <w:r w:rsidR="008A5E36" w:rsidRPr="007201D8">
        <w:rPr>
          <w:rFonts w:ascii="Times New Roman" w:hAnsi="Times New Roman" w:cs="Times New Roman"/>
          <w:sz w:val="24"/>
          <w:szCs w:val="24"/>
        </w:rPr>
        <w:t>suivante :</w:t>
      </w:r>
    </w:p>
    <w:p w14:paraId="2B9D959A" w14:textId="61FE9C22" w:rsidR="009A31EE" w:rsidRPr="007201D8" w:rsidRDefault="009A31EE" w:rsidP="00A42C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1D8">
        <w:rPr>
          <w:rFonts w:ascii="Times New Roman" w:hAnsi="Times New Roman" w:cs="Times New Roman"/>
          <w:b/>
          <w:bCs/>
          <w:sz w:val="24"/>
          <w:szCs w:val="24"/>
        </w:rPr>
        <w:t>« Monsieur le Directeur Général de la Banque Islamique d</w:t>
      </w:r>
      <w:r w:rsidR="00B07A4C" w:rsidRPr="007201D8">
        <w:rPr>
          <w:rFonts w:ascii="Times New Roman" w:hAnsi="Times New Roman" w:cs="Times New Roman"/>
          <w:b/>
          <w:bCs/>
          <w:sz w:val="24"/>
          <w:szCs w:val="24"/>
        </w:rPr>
        <w:t>e Guinée</w:t>
      </w:r>
    </w:p>
    <w:p w14:paraId="5780FDB3" w14:textId="626874C5" w:rsidR="009A31EE" w:rsidRPr="007201D8" w:rsidRDefault="00A42C38" w:rsidP="00A42C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Appel d’offre </w:t>
      </w:r>
      <w:r w:rsidR="009A31EE" w:rsidRPr="007201D8">
        <w:rPr>
          <w:rFonts w:ascii="Times New Roman" w:hAnsi="Times New Roman" w:cs="Times New Roman"/>
          <w:b/>
          <w:bCs/>
          <w:sz w:val="24"/>
          <w:szCs w:val="24"/>
        </w:rPr>
        <w:t xml:space="preserve">pour le recrutement </w:t>
      </w:r>
      <w:r w:rsidR="009A6D1A" w:rsidRPr="007201D8">
        <w:rPr>
          <w:rFonts w:ascii="Times New Roman" w:hAnsi="Times New Roman" w:cs="Times New Roman"/>
          <w:b/>
          <w:bCs/>
          <w:sz w:val="24"/>
          <w:szCs w:val="24"/>
        </w:rPr>
        <w:t>d’un (</w:t>
      </w:r>
      <w:r w:rsidR="009A31EE" w:rsidRPr="007201D8">
        <w:rPr>
          <w:rFonts w:ascii="Times New Roman" w:hAnsi="Times New Roman" w:cs="Times New Roman"/>
          <w:b/>
          <w:bCs/>
          <w:sz w:val="24"/>
          <w:szCs w:val="24"/>
        </w:rPr>
        <w:t xml:space="preserve">1) Commissaire aux Comptes et </w:t>
      </w:r>
      <w:r>
        <w:rPr>
          <w:rFonts w:ascii="Times New Roman" w:hAnsi="Times New Roman" w:cs="Times New Roman"/>
          <w:b/>
          <w:bCs/>
          <w:sz w:val="24"/>
          <w:szCs w:val="24"/>
        </w:rPr>
        <w:t>de deux</w:t>
      </w:r>
      <w:r w:rsidR="009A31EE" w:rsidRPr="007201D8">
        <w:rPr>
          <w:rFonts w:ascii="Times New Roman" w:hAnsi="Times New Roman" w:cs="Times New Roman"/>
          <w:b/>
          <w:bCs/>
          <w:sz w:val="24"/>
          <w:szCs w:val="24"/>
        </w:rPr>
        <w:t xml:space="preserve"> suppléant</w:t>
      </w:r>
      <w:r w:rsidR="00BD1866" w:rsidRPr="00CE2AF0">
        <w:rPr>
          <w:rFonts w:ascii="Times New Roman" w:hAnsi="Times New Roman" w:cs="Times New Roman"/>
          <w:sz w:val="24"/>
          <w:szCs w:val="24"/>
        </w:rPr>
        <w:t>s</w:t>
      </w:r>
      <w:r w:rsidR="009A31EE" w:rsidRPr="007201D8">
        <w:rPr>
          <w:rFonts w:ascii="Times New Roman" w:hAnsi="Times New Roman" w:cs="Times New Roman"/>
          <w:b/>
          <w:bCs/>
          <w:sz w:val="24"/>
          <w:szCs w:val="24"/>
        </w:rPr>
        <w:t xml:space="preserve"> »</w:t>
      </w:r>
    </w:p>
    <w:p w14:paraId="0A91A42E" w14:textId="0D69F85E" w:rsidR="009A31EE" w:rsidRPr="007201D8" w:rsidRDefault="009A31EE" w:rsidP="00A42C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1D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53323" w:rsidRPr="007201D8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7201D8">
        <w:rPr>
          <w:rFonts w:ascii="Times New Roman" w:hAnsi="Times New Roman" w:cs="Times New Roman"/>
          <w:b/>
          <w:bCs/>
          <w:sz w:val="24"/>
          <w:szCs w:val="24"/>
        </w:rPr>
        <w:t xml:space="preserve"> n’ouvrir qu’en séance d’ouverture des plis)</w:t>
      </w:r>
    </w:p>
    <w:p w14:paraId="10543E9F" w14:textId="77777777" w:rsidR="009A31EE" w:rsidRPr="007201D8" w:rsidRDefault="009A31EE" w:rsidP="00A42C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85807" w14:textId="251B816D" w:rsidR="009A6D1A" w:rsidRPr="007201D8" w:rsidRDefault="009A31EE" w:rsidP="00A42C3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1D8">
        <w:rPr>
          <w:rFonts w:ascii="Times New Roman" w:hAnsi="Times New Roman" w:cs="Times New Roman"/>
          <w:b/>
          <w:bCs/>
          <w:sz w:val="24"/>
          <w:szCs w:val="24"/>
        </w:rPr>
        <w:t>BANQUE ISLAMIQUE D</w:t>
      </w:r>
      <w:r w:rsidR="00B07A4C" w:rsidRPr="007201D8">
        <w:rPr>
          <w:rFonts w:ascii="Times New Roman" w:hAnsi="Times New Roman" w:cs="Times New Roman"/>
          <w:b/>
          <w:bCs/>
          <w:sz w:val="24"/>
          <w:szCs w:val="24"/>
        </w:rPr>
        <w:t>E GUINEE</w:t>
      </w:r>
    </w:p>
    <w:p w14:paraId="138AC86E" w14:textId="3BF8CF7C" w:rsidR="0061448C" w:rsidRDefault="00A42C38" w:rsidP="00BD186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Sans</w:t>
      </w:r>
      <w:r w:rsidR="00BD1866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Fil, </w:t>
      </w:r>
      <w:r w:rsidR="009A6D1A" w:rsidRPr="007201D8">
        <w:rPr>
          <w:rFonts w:ascii="Times New Roman" w:hAnsi="Times New Roman" w:cs="Times New Roman"/>
          <w:b/>
          <w:bCs/>
          <w:sz w:val="24"/>
          <w:szCs w:val="24"/>
        </w:rPr>
        <w:t>Commune de Kaloum, BP :1247, Conakry, Guinée</w:t>
      </w:r>
    </w:p>
    <w:p w14:paraId="2845091D" w14:textId="77777777" w:rsidR="00CE2AF0" w:rsidRDefault="00CE2AF0" w:rsidP="00CE2AF0">
      <w:pPr>
        <w:jc w:val="center"/>
        <w:rPr>
          <w:b/>
          <w:sz w:val="24"/>
        </w:rPr>
        <w:sectPr w:rsidR="00CE2AF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850BF8" w14:textId="77777777" w:rsidR="00CE2AF0" w:rsidRDefault="00CE2AF0" w:rsidP="00CE2AF0">
      <w:pPr>
        <w:jc w:val="center"/>
        <w:rPr>
          <w:b/>
          <w:sz w:val="24"/>
        </w:rPr>
      </w:pPr>
    </w:p>
    <w:p w14:paraId="1CE421BB" w14:textId="65E753C1" w:rsidR="00CE2AF0" w:rsidRPr="004E049D" w:rsidRDefault="00CE2AF0" w:rsidP="00CE2AF0">
      <w:pPr>
        <w:jc w:val="center"/>
      </w:pPr>
      <w:r w:rsidRPr="004E049D">
        <w:rPr>
          <w:b/>
          <w:sz w:val="24"/>
        </w:rPr>
        <w:t>GRILLE D’ÉVALUATION DES CANDIDATURES – COMMISSAIRE AUX COMPTES</w:t>
      </w:r>
    </w:p>
    <w:p w14:paraId="76EEB19C" w14:textId="77777777" w:rsidR="00CE2AF0" w:rsidRPr="004E049D" w:rsidRDefault="00CE2AF0" w:rsidP="00CE2AF0">
      <w:pPr>
        <w:jc w:val="center"/>
      </w:pPr>
      <w:r w:rsidRPr="004E049D">
        <w:rPr>
          <w:i/>
          <w:sz w:val="20"/>
        </w:rPr>
        <w:t>Banque Islamique de Guinée – Sélection CAC titulaire et suppléant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990"/>
        <w:gridCol w:w="6750"/>
        <w:gridCol w:w="1620"/>
        <w:gridCol w:w="1575"/>
      </w:tblGrid>
      <w:tr w:rsidR="00CE2AF0" w:rsidRPr="003340FE" w14:paraId="1830D5C2" w14:textId="77777777" w:rsidTr="00B53323">
        <w:trPr>
          <w:cantSplit/>
          <w:jc w:val="center"/>
        </w:trPr>
        <w:tc>
          <w:tcPr>
            <w:tcW w:w="3235" w:type="dxa"/>
            <w:shd w:val="clear" w:color="auto" w:fill="D9EAF7"/>
            <w:vAlign w:val="center"/>
          </w:tcPr>
          <w:p w14:paraId="3E20B418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b/>
                <w:sz w:val="20"/>
                <w:szCs w:val="28"/>
              </w:rPr>
              <w:t>Critères d’évaluation</w:t>
            </w:r>
          </w:p>
        </w:tc>
        <w:tc>
          <w:tcPr>
            <w:tcW w:w="990" w:type="dxa"/>
            <w:shd w:val="clear" w:color="auto" w:fill="D9EAF7"/>
            <w:vAlign w:val="center"/>
          </w:tcPr>
          <w:p w14:paraId="07A9D177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b/>
                <w:sz w:val="20"/>
                <w:szCs w:val="28"/>
              </w:rPr>
              <w:t>Poids (%)</w:t>
            </w:r>
          </w:p>
        </w:tc>
        <w:tc>
          <w:tcPr>
            <w:tcW w:w="6750" w:type="dxa"/>
            <w:shd w:val="clear" w:color="auto" w:fill="D9EAF7"/>
            <w:vAlign w:val="center"/>
          </w:tcPr>
          <w:p w14:paraId="18D5866B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b/>
                <w:sz w:val="20"/>
                <w:szCs w:val="28"/>
              </w:rPr>
              <w:t>Éléments à apprécier</w:t>
            </w:r>
          </w:p>
        </w:tc>
        <w:tc>
          <w:tcPr>
            <w:tcW w:w="1620" w:type="dxa"/>
            <w:shd w:val="clear" w:color="auto" w:fill="D9EAF7"/>
            <w:vAlign w:val="center"/>
          </w:tcPr>
          <w:p w14:paraId="52927596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b/>
                <w:sz w:val="20"/>
                <w:szCs w:val="28"/>
              </w:rPr>
              <w:t>Note (/5)</w:t>
            </w:r>
          </w:p>
        </w:tc>
        <w:tc>
          <w:tcPr>
            <w:tcW w:w="1575" w:type="dxa"/>
            <w:shd w:val="clear" w:color="auto" w:fill="D9EAF7"/>
            <w:vAlign w:val="center"/>
          </w:tcPr>
          <w:p w14:paraId="57B5D69B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b/>
                <w:sz w:val="20"/>
                <w:szCs w:val="28"/>
              </w:rPr>
              <w:t>Score pondéré</w:t>
            </w:r>
          </w:p>
        </w:tc>
      </w:tr>
      <w:tr w:rsidR="00CE2AF0" w:rsidRPr="003340FE" w14:paraId="67BB0BB8" w14:textId="77777777" w:rsidTr="00B53323">
        <w:trPr>
          <w:cantSplit/>
          <w:jc w:val="center"/>
        </w:trPr>
        <w:tc>
          <w:tcPr>
            <w:tcW w:w="3235" w:type="dxa"/>
            <w:vAlign w:val="center"/>
          </w:tcPr>
          <w:p w14:paraId="248521DC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Expérience en audit bancaire</w:t>
            </w:r>
          </w:p>
        </w:tc>
        <w:tc>
          <w:tcPr>
            <w:tcW w:w="990" w:type="dxa"/>
            <w:vAlign w:val="center"/>
          </w:tcPr>
          <w:p w14:paraId="2270B91C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25</w:t>
            </w:r>
          </w:p>
        </w:tc>
        <w:tc>
          <w:tcPr>
            <w:tcW w:w="6750" w:type="dxa"/>
            <w:vAlign w:val="center"/>
          </w:tcPr>
          <w:p w14:paraId="597A25E3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Nombre de missions de commissariat aux comptes dans des banques ; taille et complexité des établissements audités ; références vérifiables.</w:t>
            </w:r>
          </w:p>
        </w:tc>
        <w:tc>
          <w:tcPr>
            <w:tcW w:w="1620" w:type="dxa"/>
            <w:vAlign w:val="center"/>
          </w:tcPr>
          <w:p w14:paraId="3E0C5094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797C12CE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CE2AF0" w:rsidRPr="003340FE" w14:paraId="07D4DE86" w14:textId="77777777" w:rsidTr="00B53323">
        <w:trPr>
          <w:cantSplit/>
          <w:jc w:val="center"/>
        </w:trPr>
        <w:tc>
          <w:tcPr>
            <w:tcW w:w="3235" w:type="dxa"/>
            <w:vAlign w:val="center"/>
          </w:tcPr>
          <w:p w14:paraId="0DBD7C65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Compétence technique IFRS / IFRS 9</w:t>
            </w:r>
          </w:p>
        </w:tc>
        <w:tc>
          <w:tcPr>
            <w:tcW w:w="990" w:type="dxa"/>
            <w:vAlign w:val="center"/>
          </w:tcPr>
          <w:p w14:paraId="3959ED68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15</w:t>
            </w:r>
          </w:p>
        </w:tc>
        <w:tc>
          <w:tcPr>
            <w:tcW w:w="6750" w:type="dxa"/>
            <w:vAlign w:val="center"/>
          </w:tcPr>
          <w:p w14:paraId="49F589E5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Maîtrise des normes IFRS, notamment IFRS 9 ; capacité à apprécier le coût du risque, les pertes attendues et la qualité des actifs.</w:t>
            </w:r>
          </w:p>
        </w:tc>
        <w:tc>
          <w:tcPr>
            <w:tcW w:w="1620" w:type="dxa"/>
            <w:vAlign w:val="center"/>
          </w:tcPr>
          <w:p w14:paraId="6BB7EB3C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09C83CDC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CE2AF0" w:rsidRPr="003340FE" w14:paraId="469BC1BB" w14:textId="77777777" w:rsidTr="00B53323">
        <w:trPr>
          <w:cantSplit/>
          <w:jc w:val="center"/>
        </w:trPr>
        <w:tc>
          <w:tcPr>
            <w:tcW w:w="3235" w:type="dxa"/>
            <w:vAlign w:val="center"/>
          </w:tcPr>
          <w:p w14:paraId="0C697966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Qualité de l’équipe proposée</w:t>
            </w:r>
          </w:p>
        </w:tc>
        <w:tc>
          <w:tcPr>
            <w:tcW w:w="990" w:type="dxa"/>
            <w:vAlign w:val="center"/>
          </w:tcPr>
          <w:p w14:paraId="4562F2CE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00099DE2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Profil du signataire, expérience des seniors, disponibilité effective de l’équipe, présence d’experts sectoriels.</w:t>
            </w:r>
          </w:p>
        </w:tc>
        <w:tc>
          <w:tcPr>
            <w:tcW w:w="1620" w:type="dxa"/>
            <w:vAlign w:val="center"/>
          </w:tcPr>
          <w:p w14:paraId="0BFAA0CD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28F786B5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CE2AF0" w:rsidRPr="003340FE" w14:paraId="079E7092" w14:textId="77777777" w:rsidTr="00B53323">
        <w:trPr>
          <w:cantSplit/>
          <w:jc w:val="center"/>
        </w:trPr>
        <w:tc>
          <w:tcPr>
            <w:tcW w:w="3235" w:type="dxa"/>
            <w:vAlign w:val="center"/>
          </w:tcPr>
          <w:p w14:paraId="60640BC2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Méthodologie d’audit</w:t>
            </w:r>
          </w:p>
        </w:tc>
        <w:tc>
          <w:tcPr>
            <w:tcW w:w="990" w:type="dxa"/>
            <w:vAlign w:val="center"/>
          </w:tcPr>
          <w:p w14:paraId="7923EFBC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72B0EC77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 xml:space="preserve">Approche fondée sur les risques ; prise en compte du contrôle interne, des risques prudentiels, du </w:t>
            </w:r>
            <w:proofErr w:type="spellStart"/>
            <w:r w:rsidRPr="003340FE">
              <w:rPr>
                <w:sz w:val="20"/>
                <w:szCs w:val="28"/>
              </w:rPr>
              <w:t>reporting</w:t>
            </w:r>
            <w:proofErr w:type="spellEnd"/>
            <w:r w:rsidRPr="003340FE">
              <w:rPr>
                <w:sz w:val="20"/>
                <w:szCs w:val="28"/>
              </w:rPr>
              <w:t xml:space="preserve"> réglementaire et des systèmes d’information.</w:t>
            </w:r>
          </w:p>
        </w:tc>
        <w:tc>
          <w:tcPr>
            <w:tcW w:w="1620" w:type="dxa"/>
            <w:vAlign w:val="center"/>
          </w:tcPr>
          <w:p w14:paraId="086C8419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46147817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CE2AF0" w:rsidRPr="003340FE" w14:paraId="628DA1A3" w14:textId="77777777" w:rsidTr="00B53323">
        <w:trPr>
          <w:cantSplit/>
          <w:jc w:val="center"/>
        </w:trPr>
        <w:tc>
          <w:tcPr>
            <w:tcW w:w="3235" w:type="dxa"/>
            <w:vAlign w:val="center"/>
          </w:tcPr>
          <w:p w14:paraId="645143D7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Indépendance et conformité</w:t>
            </w:r>
          </w:p>
        </w:tc>
        <w:tc>
          <w:tcPr>
            <w:tcW w:w="990" w:type="dxa"/>
            <w:vAlign w:val="center"/>
          </w:tcPr>
          <w:p w14:paraId="1CA46ECB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6B3B137F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Déclaration d’absence de conflit d’intérêts ; respect des incompatibilités ; règles de rotation ; conformité aux exigences OHADA, professionnelles et BCRG.</w:t>
            </w:r>
          </w:p>
        </w:tc>
        <w:tc>
          <w:tcPr>
            <w:tcW w:w="1620" w:type="dxa"/>
            <w:vAlign w:val="center"/>
          </w:tcPr>
          <w:p w14:paraId="5467E05A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3016C838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CE2AF0" w:rsidRPr="003340FE" w14:paraId="6EEF0DEB" w14:textId="77777777" w:rsidTr="00B53323">
        <w:trPr>
          <w:cantSplit/>
          <w:jc w:val="center"/>
        </w:trPr>
        <w:tc>
          <w:tcPr>
            <w:tcW w:w="3235" w:type="dxa"/>
            <w:vAlign w:val="center"/>
          </w:tcPr>
          <w:p w14:paraId="6E7EC434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Références et réputation</w:t>
            </w:r>
          </w:p>
        </w:tc>
        <w:tc>
          <w:tcPr>
            <w:tcW w:w="990" w:type="dxa"/>
            <w:vAlign w:val="center"/>
          </w:tcPr>
          <w:p w14:paraId="1039DE81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1719A5A6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Références bancaires récentes, crédibilité du cabinet, appartenance éventuelle à un réseau international, qualité reconnue des rapports.</w:t>
            </w:r>
          </w:p>
        </w:tc>
        <w:tc>
          <w:tcPr>
            <w:tcW w:w="1620" w:type="dxa"/>
            <w:vAlign w:val="center"/>
          </w:tcPr>
          <w:p w14:paraId="4DF4A047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3CB5AEDE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CE2AF0" w:rsidRPr="003340FE" w14:paraId="08B95858" w14:textId="77777777" w:rsidTr="00B53323">
        <w:trPr>
          <w:cantSplit/>
          <w:jc w:val="center"/>
        </w:trPr>
        <w:tc>
          <w:tcPr>
            <w:tcW w:w="3235" w:type="dxa"/>
            <w:vAlign w:val="center"/>
          </w:tcPr>
          <w:p w14:paraId="63F5EE66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Organisation et moyens</w:t>
            </w:r>
          </w:p>
        </w:tc>
        <w:tc>
          <w:tcPr>
            <w:tcW w:w="990" w:type="dxa"/>
            <w:vAlign w:val="center"/>
          </w:tcPr>
          <w:p w14:paraId="6CC7ACF9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4343B834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Capacité opérationnelle, présence locale, ressources disponibles, outils d’audit, capacité à respecter les délais.</w:t>
            </w:r>
          </w:p>
        </w:tc>
        <w:tc>
          <w:tcPr>
            <w:tcW w:w="1620" w:type="dxa"/>
            <w:vAlign w:val="center"/>
          </w:tcPr>
          <w:p w14:paraId="17FE8486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1A2ED628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CE2AF0" w:rsidRPr="003340FE" w14:paraId="6D4E1D2C" w14:textId="77777777" w:rsidTr="00B53323">
        <w:trPr>
          <w:cantSplit/>
          <w:jc w:val="center"/>
        </w:trPr>
        <w:tc>
          <w:tcPr>
            <w:tcW w:w="3235" w:type="dxa"/>
            <w:vAlign w:val="center"/>
          </w:tcPr>
          <w:p w14:paraId="497EDEBE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Offre financière</w:t>
            </w:r>
          </w:p>
        </w:tc>
        <w:tc>
          <w:tcPr>
            <w:tcW w:w="990" w:type="dxa"/>
            <w:vAlign w:val="center"/>
          </w:tcPr>
          <w:p w14:paraId="2333F066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1A9A3693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sz w:val="20"/>
                <w:szCs w:val="28"/>
              </w:rPr>
              <w:t>Coût global de la mission, cohérence du prix avec le périmètre proposé, transparence des honoraires.</w:t>
            </w:r>
          </w:p>
        </w:tc>
        <w:tc>
          <w:tcPr>
            <w:tcW w:w="1620" w:type="dxa"/>
            <w:vAlign w:val="center"/>
          </w:tcPr>
          <w:p w14:paraId="292C5DC0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26155901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CE2AF0" w:rsidRPr="003340FE" w14:paraId="5DB4D5B0" w14:textId="77777777" w:rsidTr="00B53323">
        <w:trPr>
          <w:cantSplit/>
          <w:jc w:val="center"/>
        </w:trPr>
        <w:tc>
          <w:tcPr>
            <w:tcW w:w="3235" w:type="dxa"/>
            <w:shd w:val="clear" w:color="auto" w:fill="EDEDED"/>
            <w:vAlign w:val="center"/>
          </w:tcPr>
          <w:p w14:paraId="68C2145F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  <w:r w:rsidRPr="003340FE">
              <w:rPr>
                <w:b/>
                <w:sz w:val="20"/>
                <w:szCs w:val="28"/>
              </w:rPr>
              <w:t>TOTAL</w:t>
            </w:r>
          </w:p>
        </w:tc>
        <w:tc>
          <w:tcPr>
            <w:tcW w:w="990" w:type="dxa"/>
            <w:shd w:val="clear" w:color="auto" w:fill="EDEDED"/>
            <w:vAlign w:val="center"/>
          </w:tcPr>
          <w:p w14:paraId="78947639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  <w:r w:rsidRPr="003340FE">
              <w:rPr>
                <w:b/>
                <w:sz w:val="20"/>
                <w:szCs w:val="28"/>
              </w:rPr>
              <w:t>100</w:t>
            </w:r>
          </w:p>
        </w:tc>
        <w:tc>
          <w:tcPr>
            <w:tcW w:w="6750" w:type="dxa"/>
            <w:shd w:val="clear" w:color="auto" w:fill="EDEDED"/>
            <w:vAlign w:val="center"/>
          </w:tcPr>
          <w:p w14:paraId="72885041" w14:textId="77777777" w:rsidR="00CE2AF0" w:rsidRPr="003340FE" w:rsidRDefault="00CE2AF0" w:rsidP="00D56EAB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620" w:type="dxa"/>
            <w:shd w:val="clear" w:color="auto" w:fill="EDEDED"/>
            <w:vAlign w:val="center"/>
          </w:tcPr>
          <w:p w14:paraId="727BCF03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75" w:type="dxa"/>
            <w:shd w:val="clear" w:color="auto" w:fill="EDEDED"/>
            <w:vAlign w:val="center"/>
          </w:tcPr>
          <w:p w14:paraId="12C19A9B" w14:textId="77777777" w:rsidR="00CE2AF0" w:rsidRPr="003340FE" w:rsidRDefault="00CE2AF0" w:rsidP="00D56EAB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14:paraId="6ECF2C51" w14:textId="77777777" w:rsidR="00CE2AF0" w:rsidRPr="00BD1866" w:rsidRDefault="00CE2AF0" w:rsidP="00BD186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2AF0" w:rsidRPr="00BD1866" w:rsidSect="00CE2A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9037" w14:textId="77777777" w:rsidR="005B2C8A" w:rsidRDefault="005B2C8A" w:rsidP="00C24782">
      <w:pPr>
        <w:spacing w:after="0" w:line="240" w:lineRule="auto"/>
      </w:pPr>
      <w:r>
        <w:separator/>
      </w:r>
    </w:p>
  </w:endnote>
  <w:endnote w:type="continuationSeparator" w:id="0">
    <w:p w14:paraId="724347FC" w14:textId="77777777" w:rsidR="005B2C8A" w:rsidRDefault="005B2C8A" w:rsidP="00C2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81607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7C7358" w14:textId="77777777" w:rsidR="00C24782" w:rsidRDefault="00C2478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17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17C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61DCF3" w14:textId="77777777" w:rsidR="00C24782" w:rsidRDefault="00C247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D84B" w14:textId="77777777" w:rsidR="005B2C8A" w:rsidRDefault="005B2C8A" w:rsidP="00C24782">
      <w:pPr>
        <w:spacing w:after="0" w:line="240" w:lineRule="auto"/>
      </w:pPr>
      <w:r>
        <w:separator/>
      </w:r>
    </w:p>
  </w:footnote>
  <w:footnote w:type="continuationSeparator" w:id="0">
    <w:p w14:paraId="3E4DAC32" w14:textId="77777777" w:rsidR="005B2C8A" w:rsidRDefault="005B2C8A" w:rsidP="00C2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B9E6" w14:textId="6F732C1A" w:rsidR="000F3AA0" w:rsidRDefault="000F3AA0">
    <w:pPr>
      <w:pStyle w:val="En-tte"/>
    </w:pPr>
    <w:r w:rsidRPr="00870C39">
      <w:rPr>
        <w:rFonts w:ascii="Times New Roman" w:eastAsia="Calibri" w:hAnsi="Times New Roman" w:cs="Times New Roman"/>
        <w:noProof/>
        <w:sz w:val="28"/>
        <w:szCs w:val="28"/>
        <w:lang w:eastAsia="fr-FR"/>
      </w:rPr>
      <w:drawing>
        <wp:anchor distT="0" distB="0" distL="114300" distR="114300" simplePos="0" relativeHeight="251659264" behindDoc="1" locked="0" layoutInCell="1" allowOverlap="1" wp14:anchorId="306FD729" wp14:editId="367A35AB">
          <wp:simplePos x="0" y="0"/>
          <wp:positionH relativeFrom="margin">
            <wp:posOffset>1412875</wp:posOffset>
          </wp:positionH>
          <wp:positionV relativeFrom="paragraph">
            <wp:posOffset>-367030</wp:posOffset>
          </wp:positionV>
          <wp:extent cx="2981325" cy="750570"/>
          <wp:effectExtent l="0" t="0" r="0" b="0"/>
          <wp:wrapTight wrapText="bothSides">
            <wp:wrapPolygon edited="0">
              <wp:start x="1932" y="2741"/>
              <wp:lineTo x="966" y="5482"/>
              <wp:lineTo x="966" y="11513"/>
              <wp:lineTo x="1518" y="13706"/>
              <wp:lineTo x="1932" y="16995"/>
              <wp:lineTo x="5521" y="16995"/>
              <wp:lineTo x="18909" y="14802"/>
              <wp:lineTo x="18909" y="9868"/>
              <wp:lineTo x="10627" y="5482"/>
              <wp:lineTo x="3588" y="2741"/>
              <wp:lineTo x="1932" y="2741"/>
            </wp:wrapPolygon>
          </wp:wrapTight>
          <wp:docPr id="18172714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271428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0B2"/>
    <w:multiLevelType w:val="hybridMultilevel"/>
    <w:tmpl w:val="DE0AA2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B5422"/>
    <w:multiLevelType w:val="hybridMultilevel"/>
    <w:tmpl w:val="E5DA5D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4A76"/>
    <w:multiLevelType w:val="hybridMultilevel"/>
    <w:tmpl w:val="919EEC2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801CEA"/>
    <w:multiLevelType w:val="hybridMultilevel"/>
    <w:tmpl w:val="DCE010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A276C"/>
    <w:multiLevelType w:val="hybridMultilevel"/>
    <w:tmpl w:val="21041FA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34CF2"/>
    <w:multiLevelType w:val="hybridMultilevel"/>
    <w:tmpl w:val="5ED4478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D002A"/>
    <w:multiLevelType w:val="hybridMultilevel"/>
    <w:tmpl w:val="CE923EA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76D34"/>
    <w:multiLevelType w:val="hybridMultilevel"/>
    <w:tmpl w:val="6D12D404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B5C10"/>
    <w:multiLevelType w:val="hybridMultilevel"/>
    <w:tmpl w:val="2020CF90"/>
    <w:lvl w:ilvl="0" w:tplc="2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1738576">
    <w:abstractNumId w:val="2"/>
  </w:num>
  <w:num w:numId="2" w16cid:durableId="414284306">
    <w:abstractNumId w:val="0"/>
  </w:num>
  <w:num w:numId="3" w16cid:durableId="702707771">
    <w:abstractNumId w:val="1"/>
  </w:num>
  <w:num w:numId="4" w16cid:durableId="1228106535">
    <w:abstractNumId w:val="3"/>
  </w:num>
  <w:num w:numId="5" w16cid:durableId="789326234">
    <w:abstractNumId w:val="4"/>
  </w:num>
  <w:num w:numId="6" w16cid:durableId="1851791239">
    <w:abstractNumId w:val="6"/>
  </w:num>
  <w:num w:numId="7" w16cid:durableId="1447113122">
    <w:abstractNumId w:val="5"/>
  </w:num>
  <w:num w:numId="8" w16cid:durableId="1006371152">
    <w:abstractNumId w:val="8"/>
  </w:num>
  <w:num w:numId="9" w16cid:durableId="596986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72"/>
    <w:rsid w:val="00004918"/>
    <w:rsid w:val="000069CF"/>
    <w:rsid w:val="00023944"/>
    <w:rsid w:val="00041EE0"/>
    <w:rsid w:val="00047936"/>
    <w:rsid w:val="00053BA4"/>
    <w:rsid w:val="00073C5A"/>
    <w:rsid w:val="000B23FE"/>
    <w:rsid w:val="000B34CA"/>
    <w:rsid w:val="000C6390"/>
    <w:rsid w:val="000F3AA0"/>
    <w:rsid w:val="00105C1F"/>
    <w:rsid w:val="00117B49"/>
    <w:rsid w:val="00127A3F"/>
    <w:rsid w:val="00134BF3"/>
    <w:rsid w:val="00145730"/>
    <w:rsid w:val="0016324E"/>
    <w:rsid w:val="001720CB"/>
    <w:rsid w:val="001E7A7C"/>
    <w:rsid w:val="001F7286"/>
    <w:rsid w:val="00233725"/>
    <w:rsid w:val="00276915"/>
    <w:rsid w:val="00326E72"/>
    <w:rsid w:val="003836DB"/>
    <w:rsid w:val="00394B5B"/>
    <w:rsid w:val="003D2BD2"/>
    <w:rsid w:val="003E0492"/>
    <w:rsid w:val="003E5928"/>
    <w:rsid w:val="003E5B99"/>
    <w:rsid w:val="003F26ED"/>
    <w:rsid w:val="003F3210"/>
    <w:rsid w:val="004117CE"/>
    <w:rsid w:val="00495914"/>
    <w:rsid w:val="004A189E"/>
    <w:rsid w:val="004A1D14"/>
    <w:rsid w:val="004A65CE"/>
    <w:rsid w:val="004A6E6E"/>
    <w:rsid w:val="004C7049"/>
    <w:rsid w:val="004C7B03"/>
    <w:rsid w:val="004E0E0D"/>
    <w:rsid w:val="00580462"/>
    <w:rsid w:val="005B2C8A"/>
    <w:rsid w:val="005B381B"/>
    <w:rsid w:val="005E3A0E"/>
    <w:rsid w:val="005E72F8"/>
    <w:rsid w:val="005F26A2"/>
    <w:rsid w:val="0061448C"/>
    <w:rsid w:val="00662FE1"/>
    <w:rsid w:val="006A7FB5"/>
    <w:rsid w:val="006C3D43"/>
    <w:rsid w:val="006E5A72"/>
    <w:rsid w:val="00700B4C"/>
    <w:rsid w:val="00704F72"/>
    <w:rsid w:val="007201D8"/>
    <w:rsid w:val="00731A09"/>
    <w:rsid w:val="007B2FAC"/>
    <w:rsid w:val="007E3FA8"/>
    <w:rsid w:val="007F2C38"/>
    <w:rsid w:val="008508AD"/>
    <w:rsid w:val="008A36C8"/>
    <w:rsid w:val="008A5E36"/>
    <w:rsid w:val="0091144E"/>
    <w:rsid w:val="00921B5A"/>
    <w:rsid w:val="00981F45"/>
    <w:rsid w:val="009A31EE"/>
    <w:rsid w:val="009A6D1A"/>
    <w:rsid w:val="009C495A"/>
    <w:rsid w:val="009C5125"/>
    <w:rsid w:val="009D0D26"/>
    <w:rsid w:val="009D4926"/>
    <w:rsid w:val="009F23CD"/>
    <w:rsid w:val="00A039A8"/>
    <w:rsid w:val="00A05EF9"/>
    <w:rsid w:val="00A06ECF"/>
    <w:rsid w:val="00A41C7A"/>
    <w:rsid w:val="00A42C38"/>
    <w:rsid w:val="00A70DFD"/>
    <w:rsid w:val="00A8395B"/>
    <w:rsid w:val="00A93B5C"/>
    <w:rsid w:val="00A93BBF"/>
    <w:rsid w:val="00AB6BC8"/>
    <w:rsid w:val="00AF308D"/>
    <w:rsid w:val="00AF337B"/>
    <w:rsid w:val="00B07A4C"/>
    <w:rsid w:val="00B07E94"/>
    <w:rsid w:val="00B118B0"/>
    <w:rsid w:val="00B1610E"/>
    <w:rsid w:val="00B16C62"/>
    <w:rsid w:val="00B53323"/>
    <w:rsid w:val="00BD1866"/>
    <w:rsid w:val="00BF7558"/>
    <w:rsid w:val="00C24782"/>
    <w:rsid w:val="00C36ABD"/>
    <w:rsid w:val="00C47D97"/>
    <w:rsid w:val="00C85028"/>
    <w:rsid w:val="00C96301"/>
    <w:rsid w:val="00CE2AF0"/>
    <w:rsid w:val="00CE5C82"/>
    <w:rsid w:val="00D106C3"/>
    <w:rsid w:val="00D21F0A"/>
    <w:rsid w:val="00D96E58"/>
    <w:rsid w:val="00DA2431"/>
    <w:rsid w:val="00E10F5E"/>
    <w:rsid w:val="00E80FB3"/>
    <w:rsid w:val="00E834E5"/>
    <w:rsid w:val="00F445A8"/>
    <w:rsid w:val="00F46381"/>
    <w:rsid w:val="00F714AF"/>
    <w:rsid w:val="00F74D28"/>
    <w:rsid w:val="00FB1D02"/>
    <w:rsid w:val="00FB5C84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7AAAD"/>
  <w15:chartTrackingRefBased/>
  <w15:docId w15:val="{1C966666-4A29-4958-ABCD-725FDA9C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79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4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782"/>
  </w:style>
  <w:style w:type="paragraph" w:styleId="Pieddepage">
    <w:name w:val="footer"/>
    <w:basedOn w:val="Normal"/>
    <w:link w:val="PieddepageCar"/>
    <w:uiPriority w:val="99"/>
    <w:unhideWhenUsed/>
    <w:rsid w:val="00C24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4782"/>
  </w:style>
  <w:style w:type="character" w:styleId="Marquedecommentaire">
    <w:name w:val="annotation reference"/>
    <w:basedOn w:val="Policepardfaut"/>
    <w:uiPriority w:val="99"/>
    <w:semiHidden/>
    <w:unhideWhenUsed/>
    <w:rsid w:val="00BD18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18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18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18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186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7691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50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508AD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8508AD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50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4D45B-0572-49AA-9297-881AC6E1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847</Words>
  <Characters>4897</Characters>
  <Application>Microsoft Office Word</Application>
  <DocSecurity>0</DocSecurity>
  <Lines>188</Lines>
  <Paragraphs>84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Ousmane Maman Issa</dc:creator>
  <cp:keywords/>
  <dc:description/>
  <cp:lastModifiedBy>Kandet Boukhary CAMARA</cp:lastModifiedBy>
  <cp:revision>2</cp:revision>
  <cp:lastPrinted>2020-07-06T08:58:00Z</cp:lastPrinted>
  <dcterms:created xsi:type="dcterms:W3CDTF">2026-05-01T12:24:00Z</dcterms:created>
  <dcterms:modified xsi:type="dcterms:W3CDTF">2026-05-01T12:24:00Z</dcterms:modified>
</cp:coreProperties>
</file>